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BC" w:rsidRPr="00147640" w:rsidRDefault="00147640" w:rsidP="00147640">
      <w:pPr>
        <w:jc w:val="right"/>
        <w:rPr>
          <w:rFonts w:ascii="Arial" w:hAnsi="Arial" w:cs="Arial"/>
          <w:b/>
          <w:sz w:val="28"/>
          <w:szCs w:val="28"/>
        </w:rPr>
      </w:pPr>
      <w:r w:rsidRPr="00147640">
        <w:rPr>
          <w:rFonts w:ascii="Arial" w:hAnsi="Arial" w:cs="Arial"/>
          <w:b/>
          <w:sz w:val="28"/>
          <w:szCs w:val="28"/>
        </w:rPr>
        <w:t>Appendix C</w:t>
      </w:r>
    </w:p>
    <w:p w:rsidR="0030327A" w:rsidRDefault="0030327A" w:rsidP="00DC7BB1">
      <w:pPr>
        <w:jc w:val="center"/>
        <w:rPr>
          <w:b/>
        </w:rPr>
      </w:pPr>
    </w:p>
    <w:p w:rsidR="00DC7BB1" w:rsidRPr="009663BB" w:rsidRDefault="001C2072" w:rsidP="004C1028">
      <w:pPr>
        <w:jc w:val="center"/>
        <w:rPr>
          <w:rFonts w:ascii="Arial" w:hAnsi="Arial" w:cs="Arial"/>
          <w:b/>
          <w:sz w:val="32"/>
          <w:szCs w:val="32"/>
        </w:rPr>
      </w:pPr>
      <w:r>
        <w:rPr>
          <w:rFonts w:ascii="Arial" w:hAnsi="Arial" w:cs="Arial"/>
          <w:b/>
          <w:sz w:val="32"/>
          <w:szCs w:val="32"/>
        </w:rPr>
        <w:t>ABR Implementation Group</w:t>
      </w:r>
    </w:p>
    <w:p w:rsidR="004C1028" w:rsidRPr="004C1028" w:rsidRDefault="004C1028" w:rsidP="004C1028">
      <w:pPr>
        <w:jc w:val="center"/>
        <w:rPr>
          <w:rFonts w:ascii="Arial" w:hAnsi="Arial" w:cs="Arial"/>
          <w:b/>
        </w:rPr>
      </w:pPr>
    </w:p>
    <w:p w:rsidR="004C1028" w:rsidRPr="004C1028" w:rsidRDefault="009B7F23" w:rsidP="00F27EE1">
      <w:pPr>
        <w:jc w:val="center"/>
        <w:rPr>
          <w:rFonts w:ascii="Arial" w:hAnsi="Arial" w:cs="Arial"/>
          <w:b/>
          <w:sz w:val="24"/>
        </w:rPr>
      </w:pPr>
      <w:r>
        <w:rPr>
          <w:rFonts w:ascii="Arial" w:hAnsi="Arial" w:cs="Arial"/>
          <w:b/>
          <w:sz w:val="24"/>
        </w:rPr>
        <w:t>Lancashire County Council</w:t>
      </w:r>
    </w:p>
    <w:p w:rsidR="004C1028" w:rsidRPr="004C1028" w:rsidRDefault="004C1028" w:rsidP="00F27EE1">
      <w:pPr>
        <w:jc w:val="center"/>
        <w:rPr>
          <w:rFonts w:ascii="Arial" w:hAnsi="Arial" w:cs="Arial"/>
          <w:b/>
          <w:sz w:val="24"/>
        </w:rPr>
      </w:pPr>
    </w:p>
    <w:p w:rsidR="00843054" w:rsidRPr="001C2072" w:rsidRDefault="00D15F2A" w:rsidP="00DC7BB1">
      <w:pPr>
        <w:jc w:val="center"/>
        <w:rPr>
          <w:rFonts w:ascii="Arial" w:hAnsi="Arial" w:cs="Arial"/>
          <w:b/>
          <w:sz w:val="24"/>
          <w:szCs w:val="24"/>
        </w:rPr>
      </w:pPr>
      <w:r>
        <w:rPr>
          <w:rFonts w:ascii="Arial" w:hAnsi="Arial" w:cs="Arial"/>
          <w:b/>
          <w:sz w:val="24"/>
          <w:szCs w:val="24"/>
        </w:rPr>
        <w:t>1:30 – 3:30</w:t>
      </w:r>
      <w:r w:rsidR="001C2072">
        <w:rPr>
          <w:rFonts w:ascii="Arial" w:hAnsi="Arial" w:cs="Arial"/>
          <w:b/>
          <w:sz w:val="24"/>
          <w:szCs w:val="24"/>
        </w:rPr>
        <w:t xml:space="preserve">pm, </w:t>
      </w:r>
      <w:r>
        <w:rPr>
          <w:rFonts w:ascii="Arial" w:hAnsi="Arial" w:cs="Arial"/>
          <w:b/>
          <w:sz w:val="24"/>
          <w:szCs w:val="24"/>
        </w:rPr>
        <w:t>Wednesday 4</w:t>
      </w:r>
      <w:r w:rsidRPr="00D15F2A">
        <w:rPr>
          <w:rFonts w:ascii="Arial" w:hAnsi="Arial" w:cs="Arial"/>
          <w:b/>
          <w:sz w:val="24"/>
          <w:szCs w:val="24"/>
          <w:vertAlign w:val="superscript"/>
        </w:rPr>
        <w:t>th</w:t>
      </w:r>
      <w:r>
        <w:rPr>
          <w:rFonts w:ascii="Arial" w:hAnsi="Arial" w:cs="Arial"/>
          <w:b/>
          <w:sz w:val="24"/>
          <w:szCs w:val="24"/>
        </w:rPr>
        <w:t xml:space="preserve"> </w:t>
      </w:r>
      <w:r w:rsidR="009B7F23">
        <w:rPr>
          <w:rFonts w:ascii="Arial" w:hAnsi="Arial" w:cs="Arial"/>
          <w:b/>
          <w:sz w:val="24"/>
          <w:szCs w:val="24"/>
        </w:rPr>
        <w:t>October</w:t>
      </w:r>
    </w:p>
    <w:p w:rsidR="001C2072" w:rsidRPr="004C1028" w:rsidRDefault="001C2072" w:rsidP="00DC7BB1">
      <w:pPr>
        <w:jc w:val="center"/>
        <w:rPr>
          <w:rFonts w:ascii="Arial" w:hAnsi="Arial" w:cs="Arial"/>
          <w:b/>
          <w:sz w:val="28"/>
          <w:szCs w:val="28"/>
        </w:rPr>
      </w:pPr>
    </w:p>
    <w:p w:rsidR="00F559F9" w:rsidRPr="004C1028" w:rsidRDefault="00D15F2A" w:rsidP="00DC7BB1">
      <w:pPr>
        <w:jc w:val="center"/>
        <w:rPr>
          <w:rFonts w:ascii="Arial" w:hAnsi="Arial" w:cs="Arial"/>
          <w:b/>
          <w:sz w:val="32"/>
          <w:szCs w:val="32"/>
        </w:rPr>
      </w:pPr>
      <w:r>
        <w:rPr>
          <w:rFonts w:ascii="Arial" w:hAnsi="Arial" w:cs="Arial"/>
          <w:b/>
          <w:sz w:val="32"/>
          <w:szCs w:val="32"/>
        </w:rPr>
        <w:t xml:space="preserve">DRAFT </w:t>
      </w:r>
      <w:r w:rsidR="008F3AD8">
        <w:rPr>
          <w:rFonts w:ascii="Arial" w:hAnsi="Arial" w:cs="Arial"/>
          <w:b/>
          <w:sz w:val="32"/>
          <w:szCs w:val="32"/>
        </w:rPr>
        <w:t>Notes</w:t>
      </w:r>
    </w:p>
    <w:p w:rsidR="00EF28CA" w:rsidRPr="004C1028" w:rsidRDefault="00EF28CA" w:rsidP="00540C52">
      <w:pPr>
        <w:rPr>
          <w:rFonts w:ascii="Arial" w:hAnsi="Arial" w:cs="Arial"/>
        </w:rPr>
      </w:pPr>
    </w:p>
    <w:p w:rsidR="00BE3801" w:rsidRDefault="00BE3801" w:rsidP="00DC7BB1">
      <w:pPr>
        <w:rPr>
          <w:rFonts w:ascii="Arial" w:hAnsi="Arial" w:cs="Arial"/>
          <w:b/>
        </w:rPr>
      </w:pPr>
    </w:p>
    <w:tbl>
      <w:tblPr>
        <w:tblW w:w="10776" w:type="dxa"/>
        <w:tblInd w:w="-714" w:type="dxa"/>
        <w:tblLook w:val="0000" w:firstRow="0" w:lastRow="0" w:firstColumn="0" w:lastColumn="0" w:noHBand="0" w:noVBand="0"/>
      </w:tblPr>
      <w:tblGrid>
        <w:gridCol w:w="5959"/>
        <w:gridCol w:w="4817"/>
      </w:tblGrid>
      <w:tr w:rsidR="0030327A" w:rsidTr="00EC7C43">
        <w:trPr>
          <w:trHeight w:val="219"/>
        </w:trPr>
        <w:tc>
          <w:tcPr>
            <w:tcW w:w="5959" w:type="dxa"/>
          </w:tcPr>
          <w:p w:rsidR="0030327A" w:rsidRPr="00451536" w:rsidRDefault="0030327A" w:rsidP="0030327A">
            <w:pPr>
              <w:ind w:left="13"/>
              <w:rPr>
                <w:rFonts w:cs="Arial"/>
                <w:b/>
                <w:sz w:val="24"/>
                <w:szCs w:val="24"/>
              </w:rPr>
            </w:pPr>
            <w:r w:rsidRPr="00451536">
              <w:rPr>
                <w:rFonts w:cs="Arial"/>
                <w:b/>
                <w:sz w:val="24"/>
                <w:szCs w:val="24"/>
              </w:rPr>
              <w:t>Present:</w:t>
            </w:r>
          </w:p>
        </w:tc>
        <w:tc>
          <w:tcPr>
            <w:tcW w:w="4817" w:type="dxa"/>
          </w:tcPr>
          <w:p w:rsidR="0030327A" w:rsidRPr="00451536" w:rsidRDefault="00D15F2A" w:rsidP="0030327A">
            <w:pPr>
              <w:rPr>
                <w:rFonts w:cs="Arial"/>
                <w:b/>
                <w:sz w:val="24"/>
                <w:szCs w:val="24"/>
              </w:rPr>
            </w:pPr>
            <w:r>
              <w:rPr>
                <w:rFonts w:cs="Arial"/>
                <w:b/>
                <w:bCs/>
                <w:iCs/>
                <w:sz w:val="24"/>
                <w:szCs w:val="24"/>
              </w:rPr>
              <w:t>Absent:</w:t>
            </w:r>
          </w:p>
        </w:tc>
      </w:tr>
      <w:tr w:rsidR="0030327A" w:rsidTr="00EC7C43">
        <w:trPr>
          <w:trHeight w:val="693"/>
        </w:trPr>
        <w:tc>
          <w:tcPr>
            <w:tcW w:w="5959" w:type="dxa"/>
          </w:tcPr>
          <w:p w:rsidR="001C2072" w:rsidRDefault="001C2072" w:rsidP="001C2072">
            <w:pPr>
              <w:pStyle w:val="ListParagraph"/>
              <w:numPr>
                <w:ilvl w:val="0"/>
                <w:numId w:val="3"/>
              </w:numPr>
              <w:ind w:left="322" w:hanging="283"/>
              <w:rPr>
                <w:rFonts w:cs="Arial"/>
              </w:rPr>
            </w:pPr>
            <w:r>
              <w:rPr>
                <w:rFonts w:cs="Arial"/>
              </w:rPr>
              <w:t>Paul Holme, Lancashire Skills and Employment Board</w:t>
            </w:r>
          </w:p>
          <w:p w:rsidR="00D15F2A" w:rsidRDefault="001C2072" w:rsidP="00D15F2A">
            <w:pPr>
              <w:pStyle w:val="ListParagraph"/>
              <w:numPr>
                <w:ilvl w:val="0"/>
                <w:numId w:val="3"/>
              </w:numPr>
              <w:ind w:left="322" w:hanging="283"/>
              <w:rPr>
                <w:rFonts w:cs="Arial"/>
              </w:rPr>
            </w:pPr>
            <w:r>
              <w:rPr>
                <w:rFonts w:cs="Arial"/>
              </w:rPr>
              <w:t xml:space="preserve">Stephen Jones, Education and Skills Funding Agency </w:t>
            </w:r>
          </w:p>
          <w:p w:rsidR="001C2072" w:rsidRPr="00D15F2A" w:rsidRDefault="00D15F2A" w:rsidP="00D15F2A">
            <w:pPr>
              <w:pStyle w:val="ListParagraph"/>
              <w:numPr>
                <w:ilvl w:val="0"/>
                <w:numId w:val="3"/>
              </w:numPr>
              <w:ind w:left="322" w:hanging="283"/>
              <w:rPr>
                <w:rFonts w:cs="Arial"/>
              </w:rPr>
            </w:pPr>
            <w:r>
              <w:rPr>
                <w:rFonts w:cs="Arial"/>
              </w:rPr>
              <w:t xml:space="preserve">Dean Langton, </w:t>
            </w:r>
            <w:r w:rsidR="00831889">
              <w:rPr>
                <w:rFonts w:cs="Arial"/>
              </w:rPr>
              <w:t>L</w:t>
            </w:r>
            <w:r>
              <w:rPr>
                <w:rFonts w:cs="Arial"/>
              </w:rPr>
              <w:t>CA</w:t>
            </w:r>
          </w:p>
          <w:p w:rsidR="001C2072" w:rsidRPr="00EC7C43" w:rsidRDefault="001C2072" w:rsidP="001C2072">
            <w:pPr>
              <w:pStyle w:val="ListParagraph"/>
              <w:numPr>
                <w:ilvl w:val="0"/>
                <w:numId w:val="3"/>
              </w:numPr>
              <w:ind w:left="322" w:hanging="283"/>
              <w:rPr>
                <w:rFonts w:cs="Arial"/>
              </w:rPr>
            </w:pPr>
            <w:r>
              <w:rPr>
                <w:rFonts w:cs="Arial"/>
              </w:rPr>
              <w:t>Dr Michele Lawty-Jones, Lancashire Skills and Employment Hub (Chair)</w:t>
            </w:r>
          </w:p>
          <w:p w:rsidR="001C2072" w:rsidRDefault="001C2072" w:rsidP="001C2072">
            <w:pPr>
              <w:pStyle w:val="ListParagraph"/>
              <w:numPr>
                <w:ilvl w:val="0"/>
                <w:numId w:val="3"/>
              </w:numPr>
              <w:ind w:left="322" w:hanging="283"/>
              <w:rPr>
                <w:rFonts w:cs="Arial"/>
              </w:rPr>
            </w:pPr>
            <w:r>
              <w:rPr>
                <w:rFonts w:cs="Arial"/>
              </w:rPr>
              <w:t>Lisa Moizer, Lancashire Skills and Employment Hub</w:t>
            </w:r>
          </w:p>
          <w:p w:rsidR="0030327A" w:rsidRDefault="001C2072" w:rsidP="00EF4721">
            <w:pPr>
              <w:pStyle w:val="ListParagraph"/>
              <w:numPr>
                <w:ilvl w:val="0"/>
                <w:numId w:val="3"/>
              </w:numPr>
              <w:ind w:left="322" w:hanging="283"/>
              <w:rPr>
                <w:rFonts w:cs="Arial"/>
              </w:rPr>
            </w:pPr>
            <w:r>
              <w:rPr>
                <w:rFonts w:cs="Arial"/>
              </w:rPr>
              <w:t xml:space="preserve">Robin Newton-Syms, The Lancashire Colleges </w:t>
            </w:r>
            <w:r w:rsidR="00554D97">
              <w:rPr>
                <w:rFonts w:cs="Arial"/>
              </w:rPr>
              <w:t>(TLC)</w:t>
            </w:r>
          </w:p>
          <w:p w:rsidR="00D15F2A" w:rsidRDefault="00D15F2A" w:rsidP="00D15F2A">
            <w:pPr>
              <w:pStyle w:val="ListParagraph"/>
              <w:numPr>
                <w:ilvl w:val="0"/>
                <w:numId w:val="3"/>
              </w:numPr>
              <w:ind w:left="322" w:hanging="283"/>
              <w:rPr>
                <w:rFonts w:cs="Arial"/>
              </w:rPr>
            </w:pPr>
            <w:r>
              <w:rPr>
                <w:rFonts w:cs="Arial"/>
              </w:rPr>
              <w:t xml:space="preserve">Ajay Sethi, Lancashire County Council </w:t>
            </w:r>
          </w:p>
          <w:p w:rsidR="00D15F2A" w:rsidRDefault="00D15F2A" w:rsidP="00D15F2A">
            <w:pPr>
              <w:pStyle w:val="ListParagraph"/>
              <w:numPr>
                <w:ilvl w:val="0"/>
                <w:numId w:val="3"/>
              </w:numPr>
              <w:ind w:left="322" w:hanging="283"/>
              <w:rPr>
                <w:rFonts w:cs="Arial"/>
              </w:rPr>
            </w:pPr>
            <w:r>
              <w:rPr>
                <w:rFonts w:cs="Arial"/>
              </w:rPr>
              <w:t>Mike Taplin, Blackpool Borough Council</w:t>
            </w:r>
          </w:p>
          <w:p w:rsidR="001C2072" w:rsidRPr="001C2072" w:rsidRDefault="001C2072" w:rsidP="001C2072">
            <w:pPr>
              <w:rPr>
                <w:rFonts w:cs="Arial"/>
              </w:rPr>
            </w:pPr>
          </w:p>
        </w:tc>
        <w:tc>
          <w:tcPr>
            <w:tcW w:w="4817" w:type="dxa"/>
          </w:tcPr>
          <w:p w:rsidR="00D15F2A" w:rsidRDefault="00D15F2A" w:rsidP="00D15F2A">
            <w:pPr>
              <w:pStyle w:val="ListParagraph"/>
              <w:numPr>
                <w:ilvl w:val="0"/>
                <w:numId w:val="3"/>
              </w:numPr>
              <w:ind w:left="322" w:hanging="283"/>
              <w:rPr>
                <w:rFonts w:cs="Arial"/>
              </w:rPr>
            </w:pPr>
            <w:r>
              <w:rPr>
                <w:rFonts w:cs="Arial"/>
              </w:rPr>
              <w:t>Julia Coleman, Blackburn with Darwen Council</w:t>
            </w:r>
          </w:p>
          <w:p w:rsidR="001C2072" w:rsidRPr="006E4BA3" w:rsidRDefault="001C2072" w:rsidP="00D15F2A">
            <w:pPr>
              <w:pStyle w:val="ListParagraph"/>
              <w:ind w:left="322"/>
              <w:rPr>
                <w:rFonts w:cs="Arial"/>
              </w:rPr>
            </w:pPr>
          </w:p>
        </w:tc>
      </w:tr>
    </w:tbl>
    <w:p w:rsidR="004D5546" w:rsidRPr="004D5546" w:rsidRDefault="00053DB5" w:rsidP="00DC7BB1">
      <w:pPr>
        <w:rPr>
          <w:rFonts w:ascii="Arial" w:hAnsi="Arial" w:cs="Arial"/>
        </w:rPr>
      </w:pPr>
      <w:r w:rsidRPr="00053DB5">
        <w:rPr>
          <w:rFonts w:ascii="Arial" w:hAnsi="Arial" w:cs="Arial"/>
        </w:rPr>
        <w:t> </w:t>
      </w:r>
    </w:p>
    <w:tbl>
      <w:tblPr>
        <w:tblpPr w:leftFromText="180" w:rightFromText="180" w:vertAnchor="text" w:tblpX="-695" w:tblpY="397"/>
        <w:tblW w:w="10768" w:type="dxa"/>
        <w:tblLook w:val="0000" w:firstRow="0" w:lastRow="0" w:firstColumn="0" w:lastColumn="0" w:noHBand="0" w:noVBand="0"/>
      </w:tblPr>
      <w:tblGrid>
        <w:gridCol w:w="910"/>
        <w:gridCol w:w="8358"/>
        <w:gridCol w:w="1500"/>
      </w:tblGrid>
      <w:tr w:rsidR="00B101CB" w:rsidRPr="00EC7C43" w:rsidTr="002C4159">
        <w:trPr>
          <w:trHeight w:val="444"/>
        </w:trPr>
        <w:tc>
          <w:tcPr>
            <w:tcW w:w="910" w:type="dxa"/>
          </w:tcPr>
          <w:p w:rsidR="00B101CB" w:rsidRPr="00EC7C43" w:rsidRDefault="00B101CB" w:rsidP="004C4A93">
            <w:pPr>
              <w:rPr>
                <w:rFonts w:cs="Arial"/>
                <w:b/>
              </w:rPr>
            </w:pPr>
            <w:r w:rsidRPr="00EC7C43">
              <w:rPr>
                <w:rFonts w:cs="Arial"/>
                <w:b/>
              </w:rPr>
              <w:t>Agenda Item</w:t>
            </w:r>
          </w:p>
        </w:tc>
        <w:tc>
          <w:tcPr>
            <w:tcW w:w="8358" w:type="dxa"/>
          </w:tcPr>
          <w:p w:rsidR="000554E3" w:rsidRDefault="000554E3" w:rsidP="00832538">
            <w:pPr>
              <w:rPr>
                <w:rFonts w:cs="Arial"/>
              </w:rPr>
            </w:pPr>
          </w:p>
          <w:p w:rsidR="00B101CB" w:rsidRPr="000554E3" w:rsidRDefault="000554E3" w:rsidP="000554E3">
            <w:pPr>
              <w:tabs>
                <w:tab w:val="left" w:pos="4725"/>
              </w:tabs>
              <w:rPr>
                <w:rFonts w:cs="Arial"/>
              </w:rPr>
            </w:pPr>
            <w:r>
              <w:rPr>
                <w:rFonts w:cs="Arial"/>
              </w:rPr>
              <w:tab/>
            </w:r>
          </w:p>
        </w:tc>
        <w:tc>
          <w:tcPr>
            <w:tcW w:w="1500" w:type="dxa"/>
          </w:tcPr>
          <w:p w:rsidR="00B101CB" w:rsidRPr="00EC7C43" w:rsidRDefault="00B101CB" w:rsidP="00832538">
            <w:pPr>
              <w:rPr>
                <w:rFonts w:cs="Arial"/>
                <w:b/>
              </w:rPr>
            </w:pPr>
          </w:p>
        </w:tc>
      </w:tr>
      <w:tr w:rsidR="00B101CB" w:rsidRPr="00EC7C43" w:rsidTr="002C4159">
        <w:trPr>
          <w:trHeight w:val="770"/>
        </w:trPr>
        <w:tc>
          <w:tcPr>
            <w:tcW w:w="910" w:type="dxa"/>
          </w:tcPr>
          <w:p w:rsidR="00B101CB" w:rsidRPr="00EC7C43" w:rsidRDefault="00B101CB" w:rsidP="00EF4721">
            <w:pPr>
              <w:pStyle w:val="ListParagraph"/>
              <w:numPr>
                <w:ilvl w:val="0"/>
                <w:numId w:val="1"/>
              </w:numPr>
              <w:ind w:left="0" w:firstLine="0"/>
              <w:rPr>
                <w:rFonts w:cs="Arial"/>
                <w:b/>
              </w:rPr>
            </w:pPr>
          </w:p>
        </w:tc>
        <w:tc>
          <w:tcPr>
            <w:tcW w:w="8358" w:type="dxa"/>
          </w:tcPr>
          <w:p w:rsidR="00B101CB" w:rsidRDefault="006E4BA3" w:rsidP="00832538">
            <w:pPr>
              <w:rPr>
                <w:rFonts w:eastAsia="Times New Roman" w:cs="Arial"/>
                <w:b/>
              </w:rPr>
            </w:pPr>
            <w:r>
              <w:rPr>
                <w:rFonts w:eastAsia="Times New Roman" w:cs="Arial"/>
                <w:b/>
              </w:rPr>
              <w:t xml:space="preserve">Welcome and </w:t>
            </w:r>
            <w:r w:rsidR="00B101CB" w:rsidRPr="00EC7C43">
              <w:rPr>
                <w:rFonts w:eastAsia="Times New Roman" w:cs="Arial"/>
                <w:b/>
              </w:rPr>
              <w:t>Introduction</w:t>
            </w:r>
            <w:r>
              <w:rPr>
                <w:rFonts w:eastAsia="Times New Roman" w:cs="Arial"/>
                <w:b/>
              </w:rPr>
              <w:t>s</w:t>
            </w:r>
          </w:p>
          <w:p w:rsidR="00BA0DA8" w:rsidRDefault="00BA0DA8" w:rsidP="00832538">
            <w:pPr>
              <w:rPr>
                <w:rFonts w:eastAsia="Times New Roman" w:cs="Arial"/>
                <w:b/>
              </w:rPr>
            </w:pPr>
          </w:p>
          <w:p w:rsidR="006E4BA3" w:rsidRDefault="001C2072" w:rsidP="00832538">
            <w:pPr>
              <w:rPr>
                <w:rFonts w:eastAsia="Times New Roman" w:cs="Arial"/>
              </w:rPr>
            </w:pPr>
            <w:r>
              <w:rPr>
                <w:rFonts w:eastAsia="Times New Roman" w:cs="Arial"/>
              </w:rPr>
              <w:t>Michele</w:t>
            </w:r>
            <w:r w:rsidR="00EA6715">
              <w:rPr>
                <w:rFonts w:eastAsia="Times New Roman" w:cs="Arial"/>
              </w:rPr>
              <w:t xml:space="preserve"> welcomed</w:t>
            </w:r>
            <w:r w:rsidR="00F93F14">
              <w:rPr>
                <w:rFonts w:eastAsia="Times New Roman" w:cs="Arial"/>
              </w:rPr>
              <w:t xml:space="preserve"> the group and thanked them for their attendance</w:t>
            </w:r>
            <w:r w:rsidR="00EA6715">
              <w:rPr>
                <w:rFonts w:eastAsia="Times New Roman" w:cs="Arial"/>
              </w:rPr>
              <w:t>.</w:t>
            </w:r>
          </w:p>
          <w:p w:rsidR="002B144B" w:rsidRPr="00EC7C43" w:rsidRDefault="002B144B" w:rsidP="00E212CD">
            <w:pPr>
              <w:rPr>
                <w:rFonts w:cs="Arial"/>
              </w:rPr>
            </w:pPr>
          </w:p>
        </w:tc>
        <w:tc>
          <w:tcPr>
            <w:tcW w:w="1500" w:type="dxa"/>
          </w:tcPr>
          <w:p w:rsidR="00B101CB" w:rsidRPr="00EC7C43" w:rsidRDefault="00B101CB" w:rsidP="00832538">
            <w:pPr>
              <w:rPr>
                <w:rFonts w:cs="Arial"/>
                <w:b/>
              </w:rPr>
            </w:pPr>
          </w:p>
          <w:p w:rsidR="00B101CB" w:rsidRPr="00EC7C43" w:rsidRDefault="00B101CB" w:rsidP="00832538">
            <w:pPr>
              <w:rPr>
                <w:rFonts w:cs="Arial"/>
                <w:b/>
              </w:rPr>
            </w:pPr>
          </w:p>
        </w:tc>
      </w:tr>
      <w:tr w:rsidR="00B101CB" w:rsidRPr="00EC7C43" w:rsidTr="002C4159">
        <w:trPr>
          <w:trHeight w:val="842"/>
        </w:trPr>
        <w:tc>
          <w:tcPr>
            <w:tcW w:w="910" w:type="dxa"/>
          </w:tcPr>
          <w:p w:rsidR="00B101CB" w:rsidRPr="00EC7C43" w:rsidRDefault="00B101CB" w:rsidP="00EF4721">
            <w:pPr>
              <w:pStyle w:val="ListParagraph"/>
              <w:numPr>
                <w:ilvl w:val="0"/>
                <w:numId w:val="1"/>
              </w:numPr>
              <w:ind w:left="0" w:firstLine="0"/>
              <w:rPr>
                <w:rFonts w:cs="Arial"/>
                <w:b/>
              </w:rPr>
            </w:pPr>
          </w:p>
        </w:tc>
        <w:tc>
          <w:tcPr>
            <w:tcW w:w="8358" w:type="dxa"/>
          </w:tcPr>
          <w:p w:rsidR="00035966" w:rsidRDefault="00831889" w:rsidP="001F43FC">
            <w:pPr>
              <w:rPr>
                <w:rFonts w:cs="Arial"/>
                <w:b/>
              </w:rPr>
            </w:pPr>
            <w:r>
              <w:rPr>
                <w:rFonts w:cs="Arial"/>
                <w:b/>
              </w:rPr>
              <w:t>Notes of the last meeting</w:t>
            </w:r>
          </w:p>
          <w:p w:rsidR="001C2072" w:rsidRDefault="001C2072" w:rsidP="001F43FC">
            <w:pPr>
              <w:rPr>
                <w:rFonts w:cs="Arial"/>
                <w:b/>
              </w:rPr>
            </w:pPr>
          </w:p>
          <w:p w:rsidR="00E212CD" w:rsidRDefault="00E212CD" w:rsidP="00E212CD">
            <w:r>
              <w:t xml:space="preserve">The notes from the last meeting were agreed.  </w:t>
            </w:r>
          </w:p>
          <w:p w:rsidR="00E212CD" w:rsidRDefault="00E212CD" w:rsidP="00E212CD"/>
          <w:p w:rsidR="001C2072" w:rsidRPr="001C2072" w:rsidRDefault="00E212CD" w:rsidP="00E212CD">
            <w:pPr>
              <w:rPr>
                <w:rFonts w:cs="Arial"/>
                <w:b/>
              </w:rPr>
            </w:pPr>
            <w:r>
              <w:t xml:space="preserve">In terms of matters arising it was reported that the Pennine Lancashire Strategic Planning Group had not yet been progressed.  </w:t>
            </w:r>
          </w:p>
        </w:tc>
        <w:tc>
          <w:tcPr>
            <w:tcW w:w="1500" w:type="dxa"/>
          </w:tcPr>
          <w:p w:rsidR="00035966" w:rsidRDefault="00035966" w:rsidP="00F6403B">
            <w:pPr>
              <w:rPr>
                <w:rFonts w:cs="Arial"/>
                <w:b/>
              </w:rPr>
            </w:pPr>
          </w:p>
          <w:p w:rsidR="001E4494" w:rsidRDefault="001E4494" w:rsidP="00F6403B">
            <w:pPr>
              <w:rPr>
                <w:rFonts w:cs="Arial"/>
                <w:b/>
              </w:rPr>
            </w:pPr>
          </w:p>
          <w:p w:rsidR="001E4494" w:rsidRDefault="001E4494" w:rsidP="00F6403B">
            <w:pPr>
              <w:rPr>
                <w:rFonts w:cs="Arial"/>
                <w:b/>
              </w:rPr>
            </w:pPr>
          </w:p>
          <w:p w:rsidR="001E4494" w:rsidRDefault="001E4494" w:rsidP="00F6403B">
            <w:pPr>
              <w:rPr>
                <w:rFonts w:cs="Arial"/>
                <w:b/>
              </w:rPr>
            </w:pPr>
          </w:p>
          <w:p w:rsidR="001E4494" w:rsidRDefault="001E4494" w:rsidP="00F6403B">
            <w:pPr>
              <w:rPr>
                <w:rFonts w:cs="Arial"/>
                <w:b/>
              </w:rPr>
            </w:pPr>
          </w:p>
          <w:p w:rsidR="001E4494" w:rsidRDefault="001E4494" w:rsidP="00F6403B">
            <w:pPr>
              <w:rPr>
                <w:rFonts w:cs="Arial"/>
                <w:b/>
              </w:rPr>
            </w:pPr>
          </w:p>
          <w:p w:rsidR="001E4494" w:rsidRPr="00EC7C43" w:rsidRDefault="001E4494" w:rsidP="00F6403B">
            <w:pPr>
              <w:rPr>
                <w:rFonts w:cs="Arial"/>
                <w:b/>
              </w:rPr>
            </w:pPr>
          </w:p>
        </w:tc>
      </w:tr>
      <w:tr w:rsidR="00622CFF" w:rsidRPr="00EC7C43" w:rsidTr="002C4159">
        <w:trPr>
          <w:trHeight w:val="558"/>
        </w:trPr>
        <w:tc>
          <w:tcPr>
            <w:tcW w:w="910" w:type="dxa"/>
          </w:tcPr>
          <w:p w:rsidR="00622CFF" w:rsidRPr="00EC7C43" w:rsidRDefault="00622CFF" w:rsidP="00EF4721">
            <w:pPr>
              <w:pStyle w:val="ListParagraph"/>
              <w:numPr>
                <w:ilvl w:val="0"/>
                <w:numId w:val="1"/>
              </w:numPr>
              <w:ind w:left="0" w:firstLine="0"/>
              <w:rPr>
                <w:rFonts w:cs="Arial"/>
                <w:b/>
              </w:rPr>
            </w:pPr>
          </w:p>
        </w:tc>
        <w:tc>
          <w:tcPr>
            <w:tcW w:w="8358" w:type="dxa"/>
          </w:tcPr>
          <w:p w:rsidR="001F43FC" w:rsidRDefault="001E4494" w:rsidP="001E4494">
            <w:pPr>
              <w:ind w:left="3"/>
              <w:rPr>
                <w:b/>
              </w:rPr>
            </w:pPr>
            <w:r w:rsidRPr="008248E9">
              <w:rPr>
                <w:b/>
              </w:rPr>
              <w:t xml:space="preserve">General update </w:t>
            </w:r>
            <w:r w:rsidR="00E212CD">
              <w:rPr>
                <w:b/>
              </w:rPr>
              <w:t>/ progress elsewhere in the Country and learning points</w:t>
            </w:r>
          </w:p>
          <w:p w:rsidR="00E212CD" w:rsidRDefault="00E212CD" w:rsidP="001E4494">
            <w:pPr>
              <w:ind w:left="3"/>
              <w:rPr>
                <w:b/>
              </w:rPr>
            </w:pPr>
          </w:p>
          <w:p w:rsidR="004A2D8B" w:rsidRDefault="004A2D8B" w:rsidP="004A2D8B">
            <w:pPr>
              <w:ind w:left="3"/>
            </w:pPr>
            <w:bookmarkStart w:id="0" w:name="_GoBack"/>
            <w:bookmarkEnd w:id="0"/>
            <w:r w:rsidRPr="004A2D8B">
              <w:t xml:space="preserve">Stephen gave a high level overview of progress across the County.  It was reported that 37 reviews have been completed and that 29 mergers have taken place to-date, which represents over 50% of the mergers recommended through ABR.  Nationally, this has resulted in a reduction of colleges by approximately 15%; the creation of a smaller number of larger, more financially resilient institutions was a primary aim of the ABR process.  </w:t>
            </w:r>
            <w:proofErr w:type="spellStart"/>
            <w:r w:rsidRPr="004A2D8B">
              <w:t>Academisation</w:t>
            </w:r>
            <w:proofErr w:type="spellEnd"/>
            <w:r w:rsidRPr="004A2D8B">
              <w:t xml:space="preserve"> is also being enacted in a number of cases.</w:t>
            </w:r>
            <w:r>
              <w:t xml:space="preserve">  </w:t>
            </w:r>
          </w:p>
          <w:p w:rsidR="00FC63FB" w:rsidRDefault="00FC63FB" w:rsidP="001E4494">
            <w:pPr>
              <w:ind w:left="3"/>
            </w:pPr>
          </w:p>
          <w:p w:rsidR="00FC63FB" w:rsidRDefault="00FC63FB" w:rsidP="001E4494">
            <w:pPr>
              <w:ind w:left="3"/>
            </w:pPr>
            <w:r>
              <w:t xml:space="preserve">In terms of the non-structural recommendations, there is an emphasis on local partners; </w:t>
            </w:r>
            <w:r w:rsidR="00206A1E">
              <w:t>these</w:t>
            </w:r>
            <w:r>
              <w:t xml:space="preserve"> are not being monitored to the same extent as the structural recommendations by the </w:t>
            </w:r>
            <w:r w:rsidR="00206A1E">
              <w:t>ESFA</w:t>
            </w:r>
            <w:r>
              <w:t>.</w:t>
            </w:r>
          </w:p>
          <w:p w:rsidR="00206A1E" w:rsidRDefault="00206A1E" w:rsidP="001E4494">
            <w:pPr>
              <w:ind w:left="3"/>
            </w:pPr>
          </w:p>
          <w:p w:rsidR="00206A1E" w:rsidRDefault="00206A1E" w:rsidP="001E4494">
            <w:pPr>
              <w:ind w:left="3"/>
            </w:pPr>
            <w:r>
              <w:t xml:space="preserve">At present progress is reviewed via a national group chaired by the FE Commissioner – it is anticipated that the group will operate for a limited time period.  It is anticipated that the </w:t>
            </w:r>
            <w:r>
              <w:lastRenderedPageBreak/>
              <w:t>majority of the remaining structural changes</w:t>
            </w:r>
            <w:r w:rsidR="009A4193">
              <w:t xml:space="preserve"> (resulting from the ABR process)</w:t>
            </w:r>
            <w:r>
              <w:t xml:space="preserve"> wil</w:t>
            </w:r>
            <w:r w:rsidR="009A4193">
              <w:t xml:space="preserve">l be completed during 2018/19.  </w:t>
            </w:r>
          </w:p>
          <w:p w:rsidR="00E212CD" w:rsidRDefault="00E212CD" w:rsidP="00E212CD">
            <w:pPr>
              <w:pStyle w:val="p2"/>
            </w:pPr>
          </w:p>
          <w:p w:rsidR="00E212CD" w:rsidRDefault="009A4193" w:rsidP="00192637">
            <w:pPr>
              <w:pStyle w:val="p2"/>
            </w:pPr>
            <w:r w:rsidRPr="009A4193">
              <w:rPr>
                <w:rFonts w:asciiTheme="minorHAnsi" w:hAnsiTheme="minorHAnsi"/>
                <w:color w:val="auto"/>
                <w:sz w:val="22"/>
                <w:szCs w:val="22"/>
              </w:rPr>
              <w:t>It was agreed that the collaborative action plan need</w:t>
            </w:r>
            <w:r w:rsidR="00192637">
              <w:rPr>
                <w:rFonts w:asciiTheme="minorHAnsi" w:hAnsiTheme="minorHAnsi"/>
                <w:color w:val="auto"/>
                <w:sz w:val="22"/>
                <w:szCs w:val="22"/>
              </w:rPr>
              <w:t>s</w:t>
            </w:r>
            <w:r w:rsidRPr="009A4193">
              <w:rPr>
                <w:rFonts w:asciiTheme="minorHAnsi" w:hAnsiTheme="minorHAnsi"/>
                <w:color w:val="auto"/>
                <w:sz w:val="22"/>
                <w:szCs w:val="22"/>
              </w:rPr>
              <w:t xml:space="preserve"> to be future-proofed and positioned appropriately – taking into consideration policy change and a wider set of partners.  The plan needs to go beyond the parameters of the ABR. </w:t>
            </w:r>
          </w:p>
          <w:p w:rsidR="001E4494" w:rsidRPr="001E4494" w:rsidRDefault="001E4494" w:rsidP="001E4494">
            <w:pPr>
              <w:rPr>
                <w:rFonts w:cs="Arial"/>
              </w:rPr>
            </w:pPr>
          </w:p>
        </w:tc>
        <w:tc>
          <w:tcPr>
            <w:tcW w:w="1500" w:type="dxa"/>
            <w:tcBorders>
              <w:left w:val="nil"/>
            </w:tcBorders>
          </w:tcPr>
          <w:p w:rsidR="00622CFF" w:rsidRDefault="00622CFF" w:rsidP="00D5758C">
            <w:pPr>
              <w:spacing w:before="120"/>
              <w:rPr>
                <w:rFonts w:cs="Arial"/>
                <w:b/>
              </w:rPr>
            </w:pPr>
          </w:p>
          <w:p w:rsidR="001E4494" w:rsidRDefault="001E4494" w:rsidP="00D5758C">
            <w:pPr>
              <w:spacing w:before="120"/>
              <w:rPr>
                <w:rFonts w:cs="Arial"/>
                <w:b/>
              </w:rPr>
            </w:pPr>
          </w:p>
          <w:p w:rsidR="001E4494" w:rsidRDefault="001E4494" w:rsidP="00D5758C">
            <w:pPr>
              <w:spacing w:before="120"/>
              <w:rPr>
                <w:rFonts w:cs="Arial"/>
                <w:b/>
              </w:rPr>
            </w:pPr>
          </w:p>
          <w:p w:rsidR="001E4494" w:rsidRDefault="001E4494" w:rsidP="00D5758C">
            <w:pPr>
              <w:spacing w:before="120"/>
              <w:rPr>
                <w:rFonts w:cs="Arial"/>
                <w:b/>
              </w:rPr>
            </w:pPr>
          </w:p>
          <w:p w:rsidR="001E4494" w:rsidRDefault="001E4494" w:rsidP="00D5758C">
            <w:pPr>
              <w:spacing w:before="120"/>
              <w:rPr>
                <w:rFonts w:cs="Arial"/>
                <w:b/>
              </w:rPr>
            </w:pPr>
          </w:p>
          <w:p w:rsidR="001E4494" w:rsidRDefault="001E4494" w:rsidP="00D5758C">
            <w:pPr>
              <w:spacing w:before="120"/>
              <w:rPr>
                <w:rFonts w:cs="Arial"/>
                <w:b/>
              </w:rPr>
            </w:pPr>
          </w:p>
          <w:p w:rsidR="001E4494" w:rsidRDefault="001E4494" w:rsidP="00D5758C">
            <w:pPr>
              <w:spacing w:before="120"/>
              <w:rPr>
                <w:rFonts w:cs="Arial"/>
                <w:b/>
              </w:rPr>
            </w:pPr>
          </w:p>
          <w:p w:rsidR="001F43FC" w:rsidRDefault="001F43FC" w:rsidP="001E4494">
            <w:pPr>
              <w:spacing w:before="120"/>
              <w:rPr>
                <w:rFonts w:cs="Arial"/>
                <w:b/>
              </w:rPr>
            </w:pPr>
          </w:p>
          <w:p w:rsidR="00CE0FA2" w:rsidRPr="00EC7C43" w:rsidRDefault="00CE0FA2" w:rsidP="001E4494">
            <w:pPr>
              <w:spacing w:before="120"/>
              <w:rPr>
                <w:rFonts w:cs="Arial"/>
                <w:b/>
              </w:rPr>
            </w:pPr>
          </w:p>
        </w:tc>
      </w:tr>
      <w:tr w:rsidR="00F93F14" w:rsidRPr="00EC7C43" w:rsidTr="002C4159">
        <w:trPr>
          <w:trHeight w:val="558"/>
        </w:trPr>
        <w:tc>
          <w:tcPr>
            <w:tcW w:w="910" w:type="dxa"/>
          </w:tcPr>
          <w:p w:rsidR="00F93F14" w:rsidRPr="00EC7C43" w:rsidRDefault="00F93F14" w:rsidP="00EF4721">
            <w:pPr>
              <w:pStyle w:val="ListParagraph"/>
              <w:numPr>
                <w:ilvl w:val="0"/>
                <w:numId w:val="1"/>
              </w:numPr>
              <w:ind w:left="0" w:firstLine="0"/>
              <w:rPr>
                <w:rFonts w:cs="Arial"/>
                <w:b/>
              </w:rPr>
            </w:pPr>
          </w:p>
        </w:tc>
        <w:tc>
          <w:tcPr>
            <w:tcW w:w="8358" w:type="dxa"/>
          </w:tcPr>
          <w:p w:rsidR="005F1CBC" w:rsidRDefault="005F1CBC" w:rsidP="005F1CBC">
            <w:pPr>
              <w:jc w:val="both"/>
              <w:rPr>
                <w:b/>
              </w:rPr>
            </w:pPr>
            <w:r>
              <w:rPr>
                <w:b/>
              </w:rPr>
              <w:t>General update</w:t>
            </w:r>
            <w:r w:rsidRPr="008248E9">
              <w:rPr>
                <w:b/>
              </w:rPr>
              <w:t xml:space="preserve"> against the structural recommendations </w:t>
            </w:r>
          </w:p>
          <w:p w:rsidR="00CE0FA2" w:rsidRDefault="00CE0FA2" w:rsidP="00B97BAB">
            <w:pPr>
              <w:rPr>
                <w:b/>
              </w:rPr>
            </w:pPr>
          </w:p>
          <w:p w:rsidR="005F1CBC" w:rsidRDefault="005F1CBC" w:rsidP="005F1CBC">
            <w:pPr>
              <w:jc w:val="both"/>
            </w:pPr>
            <w:r w:rsidRPr="00D71F0C">
              <w:t>Stephen provided a brief up-date against each of the structural recommendations:</w:t>
            </w:r>
          </w:p>
          <w:p w:rsidR="005F1CBC" w:rsidRDefault="005F1CBC" w:rsidP="005F1CBC">
            <w:pPr>
              <w:jc w:val="both"/>
            </w:pPr>
          </w:p>
          <w:p w:rsidR="005F1CBC" w:rsidRPr="00662243" w:rsidRDefault="005F1CBC" w:rsidP="005F1CBC">
            <w:pPr>
              <w:rPr>
                <w:b/>
              </w:rPr>
            </w:pPr>
            <w:r w:rsidRPr="00662243">
              <w:rPr>
                <w:b/>
              </w:rPr>
              <w:t>Burnley</w:t>
            </w:r>
            <w:r>
              <w:rPr>
                <w:b/>
              </w:rPr>
              <w:t xml:space="preserve"> College</w:t>
            </w:r>
            <w:r w:rsidRPr="00662243">
              <w:rPr>
                <w:b/>
              </w:rPr>
              <w:t xml:space="preserve"> and</w:t>
            </w:r>
            <w:r>
              <w:rPr>
                <w:b/>
              </w:rPr>
              <w:t xml:space="preserve"> Accrington &amp; Rossendale College</w:t>
            </w:r>
            <w:r w:rsidRPr="00662243">
              <w:rPr>
                <w:b/>
              </w:rPr>
              <w:t xml:space="preserve"> </w:t>
            </w:r>
          </w:p>
          <w:p w:rsidR="005F1CBC" w:rsidRDefault="005F1CBC" w:rsidP="005F1CBC">
            <w:r>
              <w:t>Negotiations</w:t>
            </w:r>
            <w:r w:rsidR="00F95F1B">
              <w:t xml:space="preserve"> are continuing with the Transaction Unit.  Timescales are currently unclear.</w:t>
            </w:r>
            <w:r>
              <w:t xml:space="preserve">  </w:t>
            </w:r>
          </w:p>
          <w:p w:rsidR="00F95F1B" w:rsidRDefault="00F95F1B" w:rsidP="005F1CBC">
            <w:pPr>
              <w:rPr>
                <w:b/>
              </w:rPr>
            </w:pPr>
          </w:p>
          <w:p w:rsidR="005F1CBC" w:rsidRPr="00662243" w:rsidRDefault="005F1CBC" w:rsidP="005F1CBC">
            <w:pPr>
              <w:rPr>
                <w:b/>
              </w:rPr>
            </w:pPr>
            <w:r w:rsidRPr="00662243">
              <w:rPr>
                <w:b/>
              </w:rPr>
              <w:t>Preston's College and UCLan</w:t>
            </w:r>
          </w:p>
          <w:p w:rsidR="005F1CBC" w:rsidRDefault="005F1CBC" w:rsidP="005F1CBC">
            <w:r>
              <w:t>The</w:t>
            </w:r>
            <w:r w:rsidR="00192637">
              <w:t xml:space="preserve"> position remains as per the last meeting - the</w:t>
            </w:r>
            <w:r>
              <w:t xml:space="preserve"> planned date for the merger of the two institutions is 1 August 2018. The recommendation is that of wholly owned subsidiary with FE designated status; an application to the agency is being submitted to trial the approach.  The application is to be submitted </w:t>
            </w:r>
            <w:r w:rsidR="00192637">
              <w:t>before Christmas</w:t>
            </w:r>
            <w:r>
              <w:t>.</w:t>
            </w:r>
          </w:p>
          <w:p w:rsidR="005F1CBC" w:rsidRDefault="005F1CBC" w:rsidP="005F1CBC"/>
          <w:p w:rsidR="005F1CBC" w:rsidRDefault="005F1CBC" w:rsidP="005F1CBC">
            <w:pPr>
              <w:rPr>
                <w:b/>
              </w:rPr>
            </w:pPr>
            <w:r w:rsidRPr="00662243">
              <w:rPr>
                <w:b/>
              </w:rPr>
              <w:t>St Mar</w:t>
            </w:r>
            <w:r w:rsidRPr="00B163A1">
              <w:rPr>
                <w:b/>
              </w:rPr>
              <w:t>y’s</w:t>
            </w:r>
            <w:r>
              <w:rPr>
                <w:b/>
              </w:rPr>
              <w:t xml:space="preserve"> College, Blackburn</w:t>
            </w:r>
          </w:p>
          <w:p w:rsidR="00F95F1B" w:rsidRDefault="00F95F1B" w:rsidP="00F95F1B">
            <w:r>
              <w:t>An interim Principal has been appointed and discussions are ongoing in relation to a sustainable solution.  It is anticipated that a recommendation will be made before Christmas.</w:t>
            </w:r>
          </w:p>
          <w:p w:rsidR="008D64C2" w:rsidRPr="00B97BAB" w:rsidRDefault="00F95F1B" w:rsidP="00F95F1B">
            <w:pPr>
              <w:rPr>
                <w:rFonts w:cs="Arial"/>
                <w:b/>
              </w:rPr>
            </w:pPr>
            <w:r w:rsidRPr="00B97BAB">
              <w:rPr>
                <w:rFonts w:cs="Arial"/>
                <w:b/>
              </w:rPr>
              <w:t xml:space="preserve"> </w:t>
            </w:r>
          </w:p>
        </w:tc>
        <w:tc>
          <w:tcPr>
            <w:tcW w:w="1500" w:type="dxa"/>
            <w:tcBorders>
              <w:left w:val="nil"/>
            </w:tcBorders>
          </w:tcPr>
          <w:p w:rsidR="00F93F14" w:rsidRDefault="00F93F14" w:rsidP="00D5758C">
            <w:pPr>
              <w:spacing w:before="120"/>
              <w:rPr>
                <w:rFonts w:cs="Arial"/>
                <w:b/>
              </w:rPr>
            </w:pPr>
          </w:p>
          <w:p w:rsidR="00B97BAB" w:rsidRDefault="00B97BAB" w:rsidP="00D5758C">
            <w:pPr>
              <w:spacing w:before="120"/>
              <w:rPr>
                <w:rFonts w:cs="Arial"/>
                <w:b/>
              </w:rPr>
            </w:pPr>
          </w:p>
          <w:p w:rsidR="00B97BAB" w:rsidRDefault="00B97BAB" w:rsidP="00D5758C">
            <w:pPr>
              <w:spacing w:before="120"/>
              <w:rPr>
                <w:rFonts w:cs="Arial"/>
                <w:b/>
              </w:rPr>
            </w:pPr>
          </w:p>
          <w:p w:rsidR="0081558E" w:rsidRDefault="0081558E" w:rsidP="0081558E">
            <w:pPr>
              <w:spacing w:before="120" w:after="100" w:afterAutospacing="1"/>
              <w:rPr>
                <w:rFonts w:cs="Arial"/>
                <w:b/>
              </w:rPr>
            </w:pPr>
          </w:p>
          <w:p w:rsidR="00E80D87" w:rsidRDefault="00E80D87" w:rsidP="0081558E">
            <w:pPr>
              <w:spacing w:before="120" w:after="100" w:afterAutospacing="1"/>
              <w:rPr>
                <w:rFonts w:cs="Arial"/>
                <w:b/>
              </w:rPr>
            </w:pPr>
          </w:p>
          <w:p w:rsidR="00B97BAB" w:rsidRPr="00EC7C43" w:rsidRDefault="00B97BAB" w:rsidP="0081558E">
            <w:pPr>
              <w:spacing w:before="120" w:after="100" w:afterAutospacing="1"/>
              <w:rPr>
                <w:rFonts w:cs="Arial"/>
                <w:b/>
              </w:rPr>
            </w:pPr>
          </w:p>
        </w:tc>
      </w:tr>
      <w:tr w:rsidR="00622CFF" w:rsidRPr="00EC7C43" w:rsidTr="002C4159">
        <w:trPr>
          <w:trHeight w:val="1865"/>
        </w:trPr>
        <w:tc>
          <w:tcPr>
            <w:tcW w:w="910" w:type="dxa"/>
          </w:tcPr>
          <w:p w:rsidR="00622CFF" w:rsidRPr="00EC7C43" w:rsidRDefault="00622CFF" w:rsidP="00EF4721">
            <w:pPr>
              <w:pStyle w:val="ListParagraph"/>
              <w:numPr>
                <w:ilvl w:val="0"/>
                <w:numId w:val="1"/>
              </w:numPr>
              <w:ind w:left="0" w:firstLine="0"/>
              <w:rPr>
                <w:rFonts w:cs="Arial"/>
                <w:b/>
              </w:rPr>
            </w:pPr>
          </w:p>
        </w:tc>
        <w:tc>
          <w:tcPr>
            <w:tcW w:w="8358" w:type="dxa"/>
          </w:tcPr>
          <w:p w:rsidR="0042608F" w:rsidRDefault="0042608F" w:rsidP="0042608F">
            <w:pPr>
              <w:jc w:val="both"/>
              <w:rPr>
                <w:b/>
              </w:rPr>
            </w:pPr>
            <w:r>
              <w:rPr>
                <w:b/>
              </w:rPr>
              <w:t>General update</w:t>
            </w:r>
            <w:r w:rsidRPr="008248E9">
              <w:rPr>
                <w:b/>
              </w:rPr>
              <w:t xml:space="preserve"> against the non-structural recommendations</w:t>
            </w:r>
          </w:p>
          <w:p w:rsidR="00F95F1B" w:rsidRDefault="00F95F1B" w:rsidP="0042608F">
            <w:pPr>
              <w:jc w:val="both"/>
              <w:rPr>
                <w:b/>
              </w:rPr>
            </w:pPr>
          </w:p>
          <w:p w:rsidR="00F95F1B" w:rsidRDefault="00F95F1B" w:rsidP="0042608F">
            <w:pPr>
              <w:jc w:val="both"/>
            </w:pPr>
            <w:r>
              <w:t>Members of the group were thanked for their comments on the draft plan relating to the non-structural recommendations.  A number of further comments were made at the meeting.</w:t>
            </w:r>
            <w:r w:rsidR="00CB6B5C">
              <w:t xml:space="preserve">  It was also agreed that the plan should be reviewed to ensure that it is was not confined by the parameters of the ABR, as per the comments under item 3.</w:t>
            </w:r>
            <w:r>
              <w:t xml:space="preserve">  A number of members committed to making changes by Monday 9</w:t>
            </w:r>
            <w:r w:rsidRPr="00F95F1B">
              <w:rPr>
                <w:vertAlign w:val="superscript"/>
              </w:rPr>
              <w:t>th</w:t>
            </w:r>
            <w:r>
              <w:t xml:space="preserve"> October, so that the draft plan could be shared with the Skills and Employment Board for comment.</w:t>
            </w:r>
          </w:p>
          <w:p w:rsidR="00F95F1B" w:rsidRDefault="00F95F1B" w:rsidP="0042608F">
            <w:pPr>
              <w:jc w:val="both"/>
            </w:pPr>
          </w:p>
          <w:p w:rsidR="00F95F1B" w:rsidRPr="00F95F1B" w:rsidRDefault="00F95F1B" w:rsidP="0042608F">
            <w:pPr>
              <w:jc w:val="both"/>
            </w:pPr>
            <w:r>
              <w:t>The role of the Implementation Group is to develop the plan and seek endorsement from the Skills and Employment Board and partners.  Discussion took place in relation to the monitoring of actions and it was agreed that the lead partner indicated on the pla</w:t>
            </w:r>
            <w:r w:rsidR="00CB6B5C">
              <w:t xml:space="preserve">n should take responsibility for </w:t>
            </w:r>
            <w:r>
              <w:t>overseeing action and provide feedback to the Skills Hub</w:t>
            </w:r>
            <w:r w:rsidR="00CB6B5C">
              <w:t xml:space="preserve"> on a regular basis</w:t>
            </w:r>
            <w:r>
              <w:t>.  This could then be brought together and fed into the Skills and Employment Board.  It was agreed that a recommendation to this effect would be made to board.</w:t>
            </w:r>
          </w:p>
          <w:p w:rsidR="00D71F0C" w:rsidRDefault="00D71F0C" w:rsidP="00950FBD">
            <w:pPr>
              <w:jc w:val="both"/>
              <w:rPr>
                <w:b/>
              </w:rPr>
            </w:pPr>
          </w:p>
          <w:p w:rsidR="00D9568B" w:rsidRPr="00913806" w:rsidRDefault="00D9568B" w:rsidP="00F95F1B">
            <w:pPr>
              <w:pStyle w:val="p1"/>
              <w:rPr>
                <w:rFonts w:eastAsia="Times New Roman" w:cs="Arial"/>
                <w:b/>
              </w:rPr>
            </w:pPr>
          </w:p>
        </w:tc>
        <w:tc>
          <w:tcPr>
            <w:tcW w:w="1500" w:type="dxa"/>
          </w:tcPr>
          <w:p w:rsidR="001D5312" w:rsidRDefault="001D5312" w:rsidP="00486382">
            <w:pPr>
              <w:rPr>
                <w:rFonts w:cs="Arial"/>
                <w:b/>
              </w:rPr>
            </w:pPr>
          </w:p>
          <w:p w:rsidR="00913806" w:rsidRDefault="00913806" w:rsidP="00486382">
            <w:pPr>
              <w:rPr>
                <w:rFonts w:cs="Arial"/>
                <w:b/>
              </w:rPr>
            </w:pPr>
          </w:p>
          <w:p w:rsidR="00F95F1B" w:rsidRDefault="00F95F1B" w:rsidP="00486382">
            <w:pPr>
              <w:rPr>
                <w:rFonts w:cs="Arial"/>
                <w:b/>
              </w:rPr>
            </w:pPr>
          </w:p>
          <w:p w:rsidR="00F95F1B" w:rsidRDefault="00F95F1B" w:rsidP="00486382">
            <w:pPr>
              <w:rPr>
                <w:rFonts w:cs="Arial"/>
                <w:b/>
              </w:rPr>
            </w:pPr>
          </w:p>
          <w:p w:rsidR="00F95F1B" w:rsidRDefault="00F95F1B" w:rsidP="00486382">
            <w:pPr>
              <w:rPr>
                <w:rFonts w:cs="Arial"/>
                <w:b/>
              </w:rPr>
            </w:pPr>
            <w:r>
              <w:rPr>
                <w:rFonts w:cs="Arial"/>
                <w:b/>
              </w:rPr>
              <w:t>Mike, Robin, Ajay</w:t>
            </w:r>
          </w:p>
          <w:p w:rsidR="00913806" w:rsidRDefault="00913806" w:rsidP="00486382">
            <w:pPr>
              <w:rPr>
                <w:rFonts w:cs="Arial"/>
                <w:b/>
              </w:rPr>
            </w:pPr>
          </w:p>
          <w:p w:rsidR="00913806" w:rsidRDefault="00913806" w:rsidP="00486382">
            <w:pPr>
              <w:rPr>
                <w:rFonts w:cs="Arial"/>
                <w:b/>
              </w:rPr>
            </w:pPr>
          </w:p>
          <w:p w:rsidR="00913806" w:rsidRDefault="00913806" w:rsidP="00486382">
            <w:pPr>
              <w:rPr>
                <w:rFonts w:cs="Arial"/>
                <w:b/>
              </w:rPr>
            </w:pPr>
          </w:p>
          <w:p w:rsidR="00913806" w:rsidRDefault="00913806" w:rsidP="00486382">
            <w:pPr>
              <w:rPr>
                <w:rFonts w:cs="Arial"/>
                <w:b/>
              </w:rPr>
            </w:pPr>
          </w:p>
          <w:p w:rsidR="00913806" w:rsidRDefault="00913806" w:rsidP="00486382">
            <w:pPr>
              <w:rPr>
                <w:rFonts w:cs="Arial"/>
                <w:b/>
              </w:rPr>
            </w:pPr>
          </w:p>
          <w:p w:rsidR="00913806" w:rsidRDefault="00913806" w:rsidP="00486382">
            <w:pPr>
              <w:rPr>
                <w:rFonts w:cs="Arial"/>
                <w:b/>
              </w:rPr>
            </w:pPr>
          </w:p>
          <w:p w:rsidR="00913806" w:rsidRDefault="00913806" w:rsidP="00486382">
            <w:pPr>
              <w:rPr>
                <w:rFonts w:cs="Arial"/>
                <w:b/>
              </w:rPr>
            </w:pPr>
          </w:p>
          <w:p w:rsidR="00913806" w:rsidRDefault="00913806" w:rsidP="00486382">
            <w:pPr>
              <w:rPr>
                <w:rFonts w:cs="Arial"/>
                <w:b/>
              </w:rPr>
            </w:pPr>
          </w:p>
          <w:p w:rsidR="00913806" w:rsidRDefault="00913806" w:rsidP="00486382">
            <w:pPr>
              <w:rPr>
                <w:rFonts w:cs="Arial"/>
                <w:b/>
              </w:rPr>
            </w:pPr>
          </w:p>
          <w:p w:rsidR="00913806" w:rsidRDefault="00913806" w:rsidP="00486382">
            <w:pPr>
              <w:rPr>
                <w:rFonts w:cs="Arial"/>
                <w:b/>
              </w:rPr>
            </w:pPr>
          </w:p>
          <w:p w:rsidR="00FA4C10" w:rsidRPr="00EC7C43" w:rsidRDefault="00FA4C10" w:rsidP="00CE0FA2">
            <w:pPr>
              <w:rPr>
                <w:rFonts w:cs="Arial"/>
                <w:b/>
              </w:rPr>
            </w:pPr>
          </w:p>
        </w:tc>
      </w:tr>
      <w:tr w:rsidR="00622CFF" w:rsidRPr="00EC7C43" w:rsidTr="002C4159">
        <w:trPr>
          <w:trHeight w:val="568"/>
        </w:trPr>
        <w:tc>
          <w:tcPr>
            <w:tcW w:w="910" w:type="dxa"/>
          </w:tcPr>
          <w:p w:rsidR="00622CFF" w:rsidRPr="00EC7C43" w:rsidRDefault="00F93F14" w:rsidP="00F93F14">
            <w:pPr>
              <w:pStyle w:val="ListParagraph"/>
              <w:ind w:left="0"/>
              <w:rPr>
                <w:rFonts w:cs="Arial"/>
                <w:b/>
              </w:rPr>
            </w:pPr>
            <w:r>
              <w:rPr>
                <w:rFonts w:cs="Arial"/>
                <w:b/>
              </w:rPr>
              <w:t>6.</w:t>
            </w:r>
          </w:p>
        </w:tc>
        <w:tc>
          <w:tcPr>
            <w:tcW w:w="8358" w:type="dxa"/>
          </w:tcPr>
          <w:p w:rsidR="00282918" w:rsidRDefault="00282918" w:rsidP="00282918">
            <w:pPr>
              <w:jc w:val="both"/>
              <w:rPr>
                <w:b/>
              </w:rPr>
            </w:pPr>
            <w:r w:rsidRPr="008248E9">
              <w:rPr>
                <w:b/>
              </w:rPr>
              <w:t>Progress in relation to Schools with Sixth Forms</w:t>
            </w:r>
          </w:p>
          <w:p w:rsidR="00282918" w:rsidRDefault="00282918" w:rsidP="00282918">
            <w:pPr>
              <w:jc w:val="both"/>
              <w:rPr>
                <w:b/>
              </w:rPr>
            </w:pPr>
          </w:p>
          <w:p w:rsidR="00CB6B5C" w:rsidRDefault="00CB6B5C" w:rsidP="00282918">
            <w:pPr>
              <w:jc w:val="both"/>
            </w:pPr>
            <w:r>
              <w:t>Ajay confirmed that the education and economic intelligence and the skills conclusion had been shared with the RSC and the Local Education Authorities, and that all were briefed on the outcomes of the ABR process.  It was indicated that relevant school planning teams would take account of the findings when making future decisions about current and planned school provision.</w:t>
            </w:r>
          </w:p>
          <w:p w:rsidR="00CB6B5C" w:rsidRDefault="00CB6B5C" w:rsidP="00282918">
            <w:pPr>
              <w:jc w:val="both"/>
            </w:pPr>
          </w:p>
          <w:p w:rsidR="00CB6B5C" w:rsidRPr="00CB6B5C" w:rsidRDefault="00CB6B5C" w:rsidP="00282918">
            <w:pPr>
              <w:jc w:val="both"/>
            </w:pPr>
            <w:r>
              <w:t xml:space="preserve">It was also confirmed that the education and economic intelligence and the skills conclusion had been shared with the School Sixth Form Heads' Network, and that this had resulted in positive dialogue and discussion regarding future provision.  For example, spurring interest in higher level and degree apprenticeship pathways for young people.  </w:t>
            </w:r>
          </w:p>
          <w:p w:rsidR="003C704C" w:rsidRPr="003C704C" w:rsidRDefault="003C704C" w:rsidP="00282918">
            <w:pPr>
              <w:jc w:val="both"/>
              <w:rPr>
                <w:rFonts w:cs="Arial"/>
              </w:rPr>
            </w:pPr>
          </w:p>
        </w:tc>
        <w:tc>
          <w:tcPr>
            <w:tcW w:w="1500" w:type="dxa"/>
          </w:tcPr>
          <w:p w:rsidR="00D420E8" w:rsidRDefault="00D420E8" w:rsidP="00D420E8">
            <w:pPr>
              <w:jc w:val="both"/>
              <w:rPr>
                <w:rFonts w:cs="Arial"/>
                <w:b/>
              </w:rPr>
            </w:pPr>
          </w:p>
          <w:p w:rsidR="00D5758C" w:rsidRDefault="00D5758C"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p>
          <w:p w:rsidR="00554D97" w:rsidRDefault="00554D97" w:rsidP="00D420E8">
            <w:pPr>
              <w:jc w:val="both"/>
              <w:rPr>
                <w:rFonts w:cs="Arial"/>
                <w:b/>
              </w:rPr>
            </w:pPr>
          </w:p>
          <w:p w:rsidR="004A3AC0" w:rsidRPr="00293C46" w:rsidRDefault="004A3AC0" w:rsidP="00282918">
            <w:pPr>
              <w:jc w:val="both"/>
              <w:rPr>
                <w:rFonts w:cs="Arial"/>
                <w:b/>
              </w:rPr>
            </w:pPr>
          </w:p>
        </w:tc>
      </w:tr>
      <w:tr w:rsidR="001D5312" w:rsidRPr="00EC7C43" w:rsidTr="002C4159">
        <w:trPr>
          <w:trHeight w:val="1224"/>
        </w:trPr>
        <w:tc>
          <w:tcPr>
            <w:tcW w:w="910" w:type="dxa"/>
          </w:tcPr>
          <w:p w:rsidR="001D5312" w:rsidRPr="00EC7C43" w:rsidRDefault="00F93F14" w:rsidP="00F93F14">
            <w:pPr>
              <w:pStyle w:val="ListParagraph"/>
              <w:ind w:left="0"/>
              <w:rPr>
                <w:rFonts w:cs="Arial"/>
                <w:b/>
              </w:rPr>
            </w:pPr>
            <w:r>
              <w:rPr>
                <w:rFonts w:cs="Arial"/>
                <w:b/>
              </w:rPr>
              <w:t>8.</w:t>
            </w:r>
          </w:p>
        </w:tc>
        <w:tc>
          <w:tcPr>
            <w:tcW w:w="8358" w:type="dxa"/>
          </w:tcPr>
          <w:p w:rsidR="00D732D6" w:rsidRDefault="00282918" w:rsidP="00752631">
            <w:pPr>
              <w:rPr>
                <w:b/>
              </w:rPr>
            </w:pPr>
            <w:r>
              <w:rPr>
                <w:b/>
              </w:rPr>
              <w:t>Reporting</w:t>
            </w:r>
            <w:r w:rsidR="009D4EA7">
              <w:rPr>
                <w:b/>
              </w:rPr>
              <w:t xml:space="preserve"> to the Skills and Employment Board</w:t>
            </w:r>
          </w:p>
          <w:p w:rsidR="00CB6B5C" w:rsidRDefault="00CB6B5C" w:rsidP="00752631">
            <w:pPr>
              <w:rPr>
                <w:b/>
              </w:rPr>
            </w:pPr>
          </w:p>
          <w:p w:rsidR="00CB6B5C" w:rsidRDefault="00CB6B5C" w:rsidP="00752631">
            <w:r>
              <w:t>The next meeting of the committee is Wednesday 18</w:t>
            </w:r>
            <w:r w:rsidRPr="00CB6B5C">
              <w:rPr>
                <w:vertAlign w:val="superscript"/>
              </w:rPr>
              <w:t>th</w:t>
            </w:r>
            <w:r>
              <w:t xml:space="preserve"> October.  The notes of the meeting will be shared with the Skills and Employment Board.  The DRAFT non-structural action plan will also be shared for comment, with view to finalising the plan by the following committee meeting (29</w:t>
            </w:r>
            <w:r w:rsidRPr="00CB6B5C">
              <w:rPr>
                <w:vertAlign w:val="superscript"/>
              </w:rPr>
              <w:t>th</w:t>
            </w:r>
            <w:r>
              <w:t xml:space="preserve"> November).</w:t>
            </w:r>
          </w:p>
          <w:p w:rsidR="00CB6B5C" w:rsidRDefault="00CB6B5C" w:rsidP="00752631"/>
          <w:p w:rsidR="00CB6B5C" w:rsidRPr="00CB6B5C" w:rsidRDefault="00CB6B5C" w:rsidP="00752631">
            <w:r>
              <w:t>A recommendation will also be made in relation to monitoring the plan beyond the lifetime of the Implementation Group, as outlined under item 5.</w:t>
            </w:r>
          </w:p>
          <w:p w:rsidR="007D7B68" w:rsidRPr="00D732D6" w:rsidRDefault="007D7B68" w:rsidP="00CB6B5C">
            <w:pPr>
              <w:pStyle w:val="p2"/>
              <w:rPr>
                <w:rFonts w:cs="Arial"/>
                <w:b/>
              </w:rPr>
            </w:pPr>
          </w:p>
        </w:tc>
        <w:tc>
          <w:tcPr>
            <w:tcW w:w="1500" w:type="dxa"/>
          </w:tcPr>
          <w:p w:rsidR="007D7B68" w:rsidRPr="00EC7C43" w:rsidRDefault="007D7B68" w:rsidP="007D7B68">
            <w:pPr>
              <w:rPr>
                <w:rFonts w:cs="Arial"/>
                <w:b/>
              </w:rPr>
            </w:pPr>
          </w:p>
        </w:tc>
      </w:tr>
      <w:tr w:rsidR="0007205A" w:rsidRPr="00EC7C43" w:rsidTr="002C4159">
        <w:trPr>
          <w:trHeight w:val="1224"/>
        </w:trPr>
        <w:tc>
          <w:tcPr>
            <w:tcW w:w="910" w:type="dxa"/>
          </w:tcPr>
          <w:p w:rsidR="0007205A" w:rsidRPr="00EC7C43" w:rsidRDefault="00F93F14" w:rsidP="00F93F14">
            <w:pPr>
              <w:pStyle w:val="ListParagraph"/>
              <w:ind w:left="0"/>
              <w:rPr>
                <w:rFonts w:cs="Arial"/>
                <w:b/>
              </w:rPr>
            </w:pPr>
            <w:r>
              <w:rPr>
                <w:rFonts w:cs="Arial"/>
                <w:b/>
              </w:rPr>
              <w:t>9.</w:t>
            </w:r>
          </w:p>
        </w:tc>
        <w:tc>
          <w:tcPr>
            <w:tcW w:w="8358" w:type="dxa"/>
          </w:tcPr>
          <w:p w:rsidR="00E80D87" w:rsidRDefault="00282918" w:rsidP="00FA14B7">
            <w:pPr>
              <w:jc w:val="both"/>
              <w:rPr>
                <w:rFonts w:cs="Arial"/>
              </w:rPr>
            </w:pPr>
            <w:r>
              <w:rPr>
                <w:b/>
              </w:rPr>
              <w:t>Date of next meeting</w:t>
            </w:r>
            <w:r w:rsidR="00FA14B7">
              <w:rPr>
                <w:rFonts w:cs="Arial"/>
              </w:rPr>
              <w:t xml:space="preserve"> </w:t>
            </w:r>
          </w:p>
          <w:p w:rsidR="00FA14B7" w:rsidRDefault="00FA14B7" w:rsidP="00FA14B7">
            <w:pPr>
              <w:jc w:val="both"/>
              <w:rPr>
                <w:rFonts w:cs="Arial"/>
              </w:rPr>
            </w:pPr>
          </w:p>
          <w:p w:rsidR="00282918" w:rsidRPr="00282918" w:rsidRDefault="00282918" w:rsidP="00282918">
            <w:pPr>
              <w:pStyle w:val="p1"/>
              <w:rPr>
                <w:rFonts w:asciiTheme="minorHAnsi" w:hAnsiTheme="minorHAnsi"/>
                <w:color w:val="auto"/>
                <w:sz w:val="22"/>
                <w:szCs w:val="22"/>
              </w:rPr>
            </w:pPr>
            <w:r w:rsidRPr="00282918">
              <w:rPr>
                <w:rStyle w:val="s2"/>
                <w:rFonts w:asciiTheme="minorHAnsi" w:hAnsiTheme="minorHAnsi"/>
                <w:b w:val="0"/>
                <w:color w:val="auto"/>
                <w:sz w:val="22"/>
                <w:szCs w:val="22"/>
              </w:rPr>
              <w:t>Friday 24th November,</w:t>
            </w:r>
            <w:r w:rsidRPr="00282918">
              <w:rPr>
                <w:rStyle w:val="apple-converted-space"/>
                <w:rFonts w:asciiTheme="minorHAnsi" w:hAnsiTheme="minorHAnsi"/>
                <w:b/>
                <w:bCs/>
                <w:color w:val="auto"/>
                <w:sz w:val="22"/>
                <w:szCs w:val="22"/>
              </w:rPr>
              <w:t> </w:t>
            </w:r>
            <w:r w:rsidRPr="00282918">
              <w:rPr>
                <w:rStyle w:val="apple-converted-space"/>
                <w:rFonts w:asciiTheme="minorHAnsi" w:hAnsiTheme="minorHAnsi"/>
                <w:bCs/>
                <w:color w:val="auto"/>
                <w:sz w:val="22"/>
                <w:szCs w:val="22"/>
              </w:rPr>
              <w:t>9:30 – 11:30am at County Hall</w:t>
            </w:r>
          </w:p>
          <w:p w:rsidR="00FA14B7" w:rsidRPr="00F93F14" w:rsidRDefault="00FA14B7" w:rsidP="00282918">
            <w:pPr>
              <w:rPr>
                <w:rFonts w:cs="Arial"/>
                <w:b/>
              </w:rPr>
            </w:pPr>
          </w:p>
        </w:tc>
        <w:tc>
          <w:tcPr>
            <w:tcW w:w="1500" w:type="dxa"/>
          </w:tcPr>
          <w:p w:rsidR="0007205A" w:rsidRDefault="0007205A" w:rsidP="00622CFF">
            <w:pPr>
              <w:rPr>
                <w:rFonts w:cs="Arial"/>
                <w:b/>
              </w:rPr>
            </w:pPr>
          </w:p>
          <w:p w:rsidR="00D732D6" w:rsidRDefault="00D732D6" w:rsidP="00622CFF">
            <w:pPr>
              <w:rPr>
                <w:rFonts w:cs="Arial"/>
                <w:b/>
              </w:rPr>
            </w:pPr>
          </w:p>
          <w:p w:rsidR="00D732D6" w:rsidRDefault="00D732D6" w:rsidP="00622CFF">
            <w:pPr>
              <w:rPr>
                <w:rFonts w:cs="Arial"/>
                <w:b/>
              </w:rPr>
            </w:pPr>
          </w:p>
          <w:p w:rsidR="00D732D6" w:rsidRPr="00EC7C43" w:rsidRDefault="00D732D6" w:rsidP="00622CFF">
            <w:pPr>
              <w:rPr>
                <w:rFonts w:cs="Arial"/>
                <w:b/>
              </w:rPr>
            </w:pPr>
          </w:p>
        </w:tc>
      </w:tr>
    </w:tbl>
    <w:p w:rsidR="00B101CB" w:rsidRDefault="00B101CB" w:rsidP="000D0A15">
      <w:pPr>
        <w:rPr>
          <w:rFonts w:ascii="Arial" w:hAnsi="Arial" w:cs="Arial"/>
        </w:rPr>
      </w:pPr>
    </w:p>
    <w:sectPr w:rsidR="00B101CB" w:rsidSect="00F17A08">
      <w:headerReference w:type="first" r:id="rId8"/>
      <w:pgSz w:w="11906" w:h="16838"/>
      <w:pgMar w:top="1440" w:right="1134"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604" w:rsidRDefault="003B5604" w:rsidP="008C5A02">
      <w:r>
        <w:separator/>
      </w:r>
    </w:p>
  </w:endnote>
  <w:endnote w:type="continuationSeparator" w:id="0">
    <w:p w:rsidR="003B5604" w:rsidRDefault="003B5604" w:rsidP="008C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604" w:rsidRDefault="003B5604" w:rsidP="008C5A02">
      <w:r>
        <w:separator/>
      </w:r>
    </w:p>
  </w:footnote>
  <w:footnote w:type="continuationSeparator" w:id="0">
    <w:p w:rsidR="003B5604" w:rsidRDefault="003B5604" w:rsidP="008C5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08" w:rsidRDefault="00956597">
    <w:pPr>
      <w:pStyle w:val="Header"/>
    </w:pPr>
    <w:r w:rsidRPr="008C5A02">
      <w:rPr>
        <w:noProof/>
      </w:rPr>
      <w:drawing>
        <wp:anchor distT="0" distB="0" distL="114300" distR="114300" simplePos="0" relativeHeight="251680768" behindDoc="1" locked="0" layoutInCell="1" allowOverlap="1" wp14:anchorId="3B8B26C5" wp14:editId="645B24C9">
          <wp:simplePos x="0" y="0"/>
          <wp:positionH relativeFrom="column">
            <wp:posOffset>4273934</wp:posOffset>
          </wp:positionH>
          <wp:positionV relativeFrom="paragraph">
            <wp:posOffset>-220980</wp:posOffset>
          </wp:positionV>
          <wp:extent cx="2089150" cy="566420"/>
          <wp:effectExtent l="0" t="0" r="6350" b="5080"/>
          <wp:wrapNone/>
          <wp:docPr id="29" name="Picture 2" descr="lep-logo"/>
          <wp:cNvGraphicFramePr/>
          <a:graphic xmlns:a="http://schemas.openxmlformats.org/drawingml/2006/main">
            <a:graphicData uri="http://schemas.openxmlformats.org/drawingml/2006/picture">
              <pic:pic xmlns:pic="http://schemas.openxmlformats.org/drawingml/2006/picture">
                <pic:nvPicPr>
                  <pic:cNvPr id="1027" name="Picture 1" descr="lep-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50" cy="566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17A08" w:rsidRPr="00C45EBC">
      <w:rPr>
        <w:noProof/>
      </w:rPr>
      <w:drawing>
        <wp:anchor distT="0" distB="0" distL="114300" distR="114300" simplePos="0" relativeHeight="251677696" behindDoc="1" locked="0" layoutInCell="1" allowOverlap="1" wp14:anchorId="179F2F54" wp14:editId="50E76A1A">
          <wp:simplePos x="0" y="0"/>
          <wp:positionH relativeFrom="margin">
            <wp:posOffset>-462073</wp:posOffset>
          </wp:positionH>
          <wp:positionV relativeFrom="paragraph">
            <wp:posOffset>-221615</wp:posOffset>
          </wp:positionV>
          <wp:extent cx="2935605" cy="559435"/>
          <wp:effectExtent l="0" t="0" r="0" b="0"/>
          <wp:wrapNone/>
          <wp:docPr id="28" name="Picture 28" descr="C:\Users\lmoizer001\AppData\Local\Microsoft\Windows\Temporary Internet Files\Content.Outlook\H1JBMSBX\LSEH_NEW_brand_Logo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izer001\AppData\Local\Microsoft\Windows\Temporary Internet Files\Content.Outlook\H1JBMSBX\LSEH_NEW_brand_Logo_01-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3560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A08" w:rsidRPr="008C5A02">
      <w:rPr>
        <w:noProof/>
      </w:rPr>
      <w:drawing>
        <wp:anchor distT="0" distB="0" distL="114300" distR="114300" simplePos="0" relativeHeight="251678720" behindDoc="1" locked="0" layoutInCell="1" allowOverlap="1" wp14:anchorId="58DE5750" wp14:editId="64C8792B">
          <wp:simplePos x="0" y="0"/>
          <wp:positionH relativeFrom="column">
            <wp:posOffset>7863840</wp:posOffset>
          </wp:positionH>
          <wp:positionV relativeFrom="paragraph">
            <wp:posOffset>-69215</wp:posOffset>
          </wp:positionV>
          <wp:extent cx="2089150" cy="566420"/>
          <wp:effectExtent l="0" t="0" r="6350" b="5080"/>
          <wp:wrapNone/>
          <wp:docPr id="30" name="Picture 2" descr="lep-logo"/>
          <wp:cNvGraphicFramePr/>
          <a:graphic xmlns:a="http://schemas.openxmlformats.org/drawingml/2006/main">
            <a:graphicData uri="http://schemas.openxmlformats.org/drawingml/2006/picture">
              <pic:pic xmlns:pic="http://schemas.openxmlformats.org/drawingml/2006/picture">
                <pic:nvPicPr>
                  <pic:cNvPr id="1027" name="Picture 1" descr="lep-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50" cy="566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E9E"/>
    <w:multiLevelType w:val="hybridMultilevel"/>
    <w:tmpl w:val="7D8CDF2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 w15:restartNumberingAfterBreak="0">
    <w:nsid w:val="10AF4332"/>
    <w:multiLevelType w:val="hybridMultilevel"/>
    <w:tmpl w:val="53A8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50DA1"/>
    <w:multiLevelType w:val="multilevel"/>
    <w:tmpl w:val="F01621E8"/>
    <w:lvl w:ilvl="0">
      <w:start w:val="5"/>
      <w:numFmt w:val="decimal"/>
      <w:lvlText w:val="%1."/>
      <w:lvlJc w:val="left"/>
      <w:pPr>
        <w:tabs>
          <w:tab w:val="num" w:pos="1778"/>
        </w:tabs>
        <w:ind w:left="1778" w:hanging="360"/>
      </w:pPr>
      <w:rPr>
        <w:rFonts w:hint="default"/>
        <w:b/>
        <w:sz w:val="22"/>
        <w:szCs w:val="22"/>
      </w:rPr>
    </w:lvl>
    <w:lvl w:ilvl="1">
      <w:start w:val="1"/>
      <w:numFmt w:val="decimal"/>
      <w:lvlText w:val="%2."/>
      <w:lvlJc w:val="left"/>
      <w:pPr>
        <w:tabs>
          <w:tab w:val="num" w:pos="1222"/>
        </w:tabs>
        <w:ind w:left="1222" w:hanging="360"/>
      </w:pPr>
      <w:rPr>
        <w:rFonts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3" w15:restartNumberingAfterBreak="0">
    <w:nsid w:val="25364365"/>
    <w:multiLevelType w:val="hybridMultilevel"/>
    <w:tmpl w:val="89AE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3341C"/>
    <w:multiLevelType w:val="hybridMultilevel"/>
    <w:tmpl w:val="9482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671AB"/>
    <w:multiLevelType w:val="hybridMultilevel"/>
    <w:tmpl w:val="E6FE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7437B"/>
    <w:multiLevelType w:val="hybridMultilevel"/>
    <w:tmpl w:val="11B8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A42DC"/>
    <w:multiLevelType w:val="hybridMultilevel"/>
    <w:tmpl w:val="C5922F4E"/>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8" w15:restartNumberingAfterBreak="0">
    <w:nsid w:val="47E26B8E"/>
    <w:multiLevelType w:val="hybridMultilevel"/>
    <w:tmpl w:val="CE62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06BD6"/>
    <w:multiLevelType w:val="hybridMultilevel"/>
    <w:tmpl w:val="5B6008B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0" w15:restartNumberingAfterBreak="0">
    <w:nsid w:val="600C0224"/>
    <w:multiLevelType w:val="multilevel"/>
    <w:tmpl w:val="B2166632"/>
    <w:lvl w:ilvl="0">
      <w:start w:val="1"/>
      <w:numFmt w:val="decimal"/>
      <w:lvlText w:val="%1."/>
      <w:lvlJc w:val="left"/>
      <w:pPr>
        <w:tabs>
          <w:tab w:val="num" w:pos="1778"/>
        </w:tabs>
        <w:ind w:left="1778" w:hanging="360"/>
      </w:pPr>
      <w:rPr>
        <w:b/>
        <w:sz w:val="22"/>
        <w:szCs w:val="22"/>
      </w:rPr>
    </w:lvl>
    <w:lvl w:ilvl="1">
      <w:start w:val="1"/>
      <w:numFmt w:val="decimal"/>
      <w:lvlText w:val="%2."/>
      <w:lvlJc w:val="left"/>
      <w:pPr>
        <w:tabs>
          <w:tab w:val="num" w:pos="1222"/>
        </w:tabs>
        <w:ind w:left="1222" w:hanging="360"/>
      </w:pPr>
      <w:rPr>
        <w:rFonts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11" w15:restartNumberingAfterBreak="0">
    <w:nsid w:val="617172C8"/>
    <w:multiLevelType w:val="hybridMultilevel"/>
    <w:tmpl w:val="697C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952F7"/>
    <w:multiLevelType w:val="hybridMultilevel"/>
    <w:tmpl w:val="2212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67686"/>
    <w:multiLevelType w:val="hybridMultilevel"/>
    <w:tmpl w:val="11AA2BCE"/>
    <w:lvl w:ilvl="0" w:tplc="08090001">
      <w:start w:val="1"/>
      <w:numFmt w:val="bullet"/>
      <w:lvlText w:val=""/>
      <w:lvlJc w:val="left"/>
      <w:pPr>
        <w:ind w:left="1059" w:hanging="360"/>
      </w:pPr>
      <w:rPr>
        <w:rFonts w:ascii="Symbol" w:hAnsi="Symbol"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14" w15:restartNumberingAfterBreak="0">
    <w:nsid w:val="6ED3632D"/>
    <w:multiLevelType w:val="hybridMultilevel"/>
    <w:tmpl w:val="201AC9A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5" w15:restartNumberingAfterBreak="0">
    <w:nsid w:val="7E3634BC"/>
    <w:multiLevelType w:val="hybridMultilevel"/>
    <w:tmpl w:val="7DC4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3"/>
  </w:num>
  <w:num w:numId="5">
    <w:abstractNumId w:val="3"/>
  </w:num>
  <w:num w:numId="6">
    <w:abstractNumId w:val="9"/>
  </w:num>
  <w:num w:numId="7">
    <w:abstractNumId w:val="6"/>
  </w:num>
  <w:num w:numId="8">
    <w:abstractNumId w:val="12"/>
  </w:num>
  <w:num w:numId="9">
    <w:abstractNumId w:val="8"/>
  </w:num>
  <w:num w:numId="10">
    <w:abstractNumId w:val="5"/>
  </w:num>
  <w:num w:numId="11">
    <w:abstractNumId w:val="14"/>
  </w:num>
  <w:num w:numId="12">
    <w:abstractNumId w:val="1"/>
  </w:num>
  <w:num w:numId="13">
    <w:abstractNumId w:val="0"/>
  </w:num>
  <w:num w:numId="14">
    <w:abstractNumId w:val="4"/>
  </w:num>
  <w:num w:numId="15">
    <w:abstractNumId w:val="15"/>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7A"/>
    <w:rsid w:val="00000EF1"/>
    <w:rsid w:val="0001221F"/>
    <w:rsid w:val="0001578D"/>
    <w:rsid w:val="00015B98"/>
    <w:rsid w:val="00035966"/>
    <w:rsid w:val="00053DB5"/>
    <w:rsid w:val="000554E3"/>
    <w:rsid w:val="00057A70"/>
    <w:rsid w:val="0007205A"/>
    <w:rsid w:val="0007281D"/>
    <w:rsid w:val="00081622"/>
    <w:rsid w:val="000821E8"/>
    <w:rsid w:val="00082BA6"/>
    <w:rsid w:val="000904B6"/>
    <w:rsid w:val="000C6EBF"/>
    <w:rsid w:val="000C7C53"/>
    <w:rsid w:val="000D0A15"/>
    <w:rsid w:val="000D3D0B"/>
    <w:rsid w:val="000E105E"/>
    <w:rsid w:val="00100AC7"/>
    <w:rsid w:val="00106599"/>
    <w:rsid w:val="0012541C"/>
    <w:rsid w:val="0012611F"/>
    <w:rsid w:val="00126611"/>
    <w:rsid w:val="00143FA1"/>
    <w:rsid w:val="00147640"/>
    <w:rsid w:val="00162181"/>
    <w:rsid w:val="001816C8"/>
    <w:rsid w:val="00181CCF"/>
    <w:rsid w:val="001833C9"/>
    <w:rsid w:val="00185779"/>
    <w:rsid w:val="001858CF"/>
    <w:rsid w:val="00192637"/>
    <w:rsid w:val="001B2A15"/>
    <w:rsid w:val="001C2072"/>
    <w:rsid w:val="001D5312"/>
    <w:rsid w:val="001D7194"/>
    <w:rsid w:val="001E40E6"/>
    <w:rsid w:val="001E4494"/>
    <w:rsid w:val="001F43FC"/>
    <w:rsid w:val="002069D8"/>
    <w:rsid w:val="00206A1E"/>
    <w:rsid w:val="00210F32"/>
    <w:rsid w:val="0021324B"/>
    <w:rsid w:val="00215A1C"/>
    <w:rsid w:val="00224C41"/>
    <w:rsid w:val="00255B50"/>
    <w:rsid w:val="0025665B"/>
    <w:rsid w:val="00277E51"/>
    <w:rsid w:val="00282918"/>
    <w:rsid w:val="002909C6"/>
    <w:rsid w:val="00293C46"/>
    <w:rsid w:val="00294134"/>
    <w:rsid w:val="00295779"/>
    <w:rsid w:val="002957E8"/>
    <w:rsid w:val="002B144B"/>
    <w:rsid w:val="002C4159"/>
    <w:rsid w:val="003003CC"/>
    <w:rsid w:val="00302F0D"/>
    <w:rsid w:val="0030327A"/>
    <w:rsid w:val="00344323"/>
    <w:rsid w:val="00383A42"/>
    <w:rsid w:val="0039619C"/>
    <w:rsid w:val="00396A75"/>
    <w:rsid w:val="003B3CBA"/>
    <w:rsid w:val="003B5604"/>
    <w:rsid w:val="003B60C8"/>
    <w:rsid w:val="003C0C0A"/>
    <w:rsid w:val="003C704C"/>
    <w:rsid w:val="003D0B07"/>
    <w:rsid w:val="003E6CCF"/>
    <w:rsid w:val="004062C3"/>
    <w:rsid w:val="004125E7"/>
    <w:rsid w:val="00413DD9"/>
    <w:rsid w:val="00414505"/>
    <w:rsid w:val="004236D7"/>
    <w:rsid w:val="0042507B"/>
    <w:rsid w:val="0042608F"/>
    <w:rsid w:val="004351FA"/>
    <w:rsid w:val="00451536"/>
    <w:rsid w:val="004615CA"/>
    <w:rsid w:val="00466C2E"/>
    <w:rsid w:val="00472820"/>
    <w:rsid w:val="00484007"/>
    <w:rsid w:val="00486382"/>
    <w:rsid w:val="00492DD2"/>
    <w:rsid w:val="00497826"/>
    <w:rsid w:val="00497D61"/>
    <w:rsid w:val="004A0058"/>
    <w:rsid w:val="004A2D8B"/>
    <w:rsid w:val="004A3AC0"/>
    <w:rsid w:val="004B7C6D"/>
    <w:rsid w:val="004C1028"/>
    <w:rsid w:val="004C4A93"/>
    <w:rsid w:val="004D1236"/>
    <w:rsid w:val="004D2D92"/>
    <w:rsid w:val="004D332A"/>
    <w:rsid w:val="004D4121"/>
    <w:rsid w:val="004D5546"/>
    <w:rsid w:val="004F4F13"/>
    <w:rsid w:val="005116BD"/>
    <w:rsid w:val="00521374"/>
    <w:rsid w:val="00540C52"/>
    <w:rsid w:val="00552293"/>
    <w:rsid w:val="00554D97"/>
    <w:rsid w:val="005662A6"/>
    <w:rsid w:val="00567951"/>
    <w:rsid w:val="00572CA8"/>
    <w:rsid w:val="00577EA1"/>
    <w:rsid w:val="00594B54"/>
    <w:rsid w:val="005B040F"/>
    <w:rsid w:val="005C43AA"/>
    <w:rsid w:val="005F1CBC"/>
    <w:rsid w:val="0060486F"/>
    <w:rsid w:val="00611793"/>
    <w:rsid w:val="00622CFF"/>
    <w:rsid w:val="00627579"/>
    <w:rsid w:val="00641C62"/>
    <w:rsid w:val="0065100D"/>
    <w:rsid w:val="00657C08"/>
    <w:rsid w:val="006724F5"/>
    <w:rsid w:val="00694F96"/>
    <w:rsid w:val="006A6B85"/>
    <w:rsid w:val="006B6E2A"/>
    <w:rsid w:val="006E31BE"/>
    <w:rsid w:val="006E3900"/>
    <w:rsid w:val="006E4BA3"/>
    <w:rsid w:val="006F4322"/>
    <w:rsid w:val="007119EB"/>
    <w:rsid w:val="00713250"/>
    <w:rsid w:val="007348C1"/>
    <w:rsid w:val="00744CBB"/>
    <w:rsid w:val="007509AF"/>
    <w:rsid w:val="00752631"/>
    <w:rsid w:val="00753930"/>
    <w:rsid w:val="00760873"/>
    <w:rsid w:val="00762B79"/>
    <w:rsid w:val="00774C6E"/>
    <w:rsid w:val="00775747"/>
    <w:rsid w:val="00777A86"/>
    <w:rsid w:val="00783CC3"/>
    <w:rsid w:val="00793D0A"/>
    <w:rsid w:val="007975E1"/>
    <w:rsid w:val="007A564C"/>
    <w:rsid w:val="007A5978"/>
    <w:rsid w:val="007A6D6C"/>
    <w:rsid w:val="007D3434"/>
    <w:rsid w:val="007D7B68"/>
    <w:rsid w:val="007E7035"/>
    <w:rsid w:val="008054F6"/>
    <w:rsid w:val="00806531"/>
    <w:rsid w:val="00807776"/>
    <w:rsid w:val="0081117B"/>
    <w:rsid w:val="00814DCF"/>
    <w:rsid w:val="0081558E"/>
    <w:rsid w:val="008227B9"/>
    <w:rsid w:val="00831889"/>
    <w:rsid w:val="00832538"/>
    <w:rsid w:val="00843054"/>
    <w:rsid w:val="008461C0"/>
    <w:rsid w:val="0089738E"/>
    <w:rsid w:val="00897883"/>
    <w:rsid w:val="008A0C63"/>
    <w:rsid w:val="008A5B70"/>
    <w:rsid w:val="008C5A02"/>
    <w:rsid w:val="008C652B"/>
    <w:rsid w:val="008C6965"/>
    <w:rsid w:val="008D0C6B"/>
    <w:rsid w:val="008D64C2"/>
    <w:rsid w:val="008F3AD8"/>
    <w:rsid w:val="00901E27"/>
    <w:rsid w:val="00913806"/>
    <w:rsid w:val="009149C7"/>
    <w:rsid w:val="00916ECA"/>
    <w:rsid w:val="0094674A"/>
    <w:rsid w:val="00950FBD"/>
    <w:rsid w:val="00956597"/>
    <w:rsid w:val="0095709D"/>
    <w:rsid w:val="009663BB"/>
    <w:rsid w:val="009802D4"/>
    <w:rsid w:val="00993511"/>
    <w:rsid w:val="009A4193"/>
    <w:rsid w:val="009A62CF"/>
    <w:rsid w:val="009B7F23"/>
    <w:rsid w:val="009C17F5"/>
    <w:rsid w:val="009D0365"/>
    <w:rsid w:val="009D1EFE"/>
    <w:rsid w:val="009D4EA7"/>
    <w:rsid w:val="009E3BB4"/>
    <w:rsid w:val="009F1400"/>
    <w:rsid w:val="00A12E82"/>
    <w:rsid w:val="00A20BA7"/>
    <w:rsid w:val="00A27B04"/>
    <w:rsid w:val="00A40590"/>
    <w:rsid w:val="00A716F2"/>
    <w:rsid w:val="00A71D13"/>
    <w:rsid w:val="00A95613"/>
    <w:rsid w:val="00A96323"/>
    <w:rsid w:val="00AA5334"/>
    <w:rsid w:val="00AC1DBC"/>
    <w:rsid w:val="00AC7928"/>
    <w:rsid w:val="00AD1228"/>
    <w:rsid w:val="00AD45B8"/>
    <w:rsid w:val="00AE19C1"/>
    <w:rsid w:val="00AE4A26"/>
    <w:rsid w:val="00AE56DC"/>
    <w:rsid w:val="00AF5EDB"/>
    <w:rsid w:val="00B00CFF"/>
    <w:rsid w:val="00B03CC2"/>
    <w:rsid w:val="00B04FDD"/>
    <w:rsid w:val="00B101CB"/>
    <w:rsid w:val="00B114AF"/>
    <w:rsid w:val="00B163A1"/>
    <w:rsid w:val="00B175A1"/>
    <w:rsid w:val="00B175BB"/>
    <w:rsid w:val="00B2075E"/>
    <w:rsid w:val="00B31FA6"/>
    <w:rsid w:val="00B51C8E"/>
    <w:rsid w:val="00B613FE"/>
    <w:rsid w:val="00B62BCC"/>
    <w:rsid w:val="00B65848"/>
    <w:rsid w:val="00B724A3"/>
    <w:rsid w:val="00B84A39"/>
    <w:rsid w:val="00B86DB2"/>
    <w:rsid w:val="00B942AE"/>
    <w:rsid w:val="00B97BAB"/>
    <w:rsid w:val="00BA0DA8"/>
    <w:rsid w:val="00BA4048"/>
    <w:rsid w:val="00BA7B81"/>
    <w:rsid w:val="00BB00A1"/>
    <w:rsid w:val="00BB023C"/>
    <w:rsid w:val="00BB2A2D"/>
    <w:rsid w:val="00BB39C0"/>
    <w:rsid w:val="00BD0B77"/>
    <w:rsid w:val="00BE09C7"/>
    <w:rsid w:val="00BE3801"/>
    <w:rsid w:val="00BF1034"/>
    <w:rsid w:val="00C215E2"/>
    <w:rsid w:val="00C218C1"/>
    <w:rsid w:val="00C25BF4"/>
    <w:rsid w:val="00C3415B"/>
    <w:rsid w:val="00C361C1"/>
    <w:rsid w:val="00C45EBC"/>
    <w:rsid w:val="00C52A6D"/>
    <w:rsid w:val="00C5353E"/>
    <w:rsid w:val="00C6090E"/>
    <w:rsid w:val="00C7337C"/>
    <w:rsid w:val="00C900D6"/>
    <w:rsid w:val="00CA230B"/>
    <w:rsid w:val="00CB18F3"/>
    <w:rsid w:val="00CB6B5C"/>
    <w:rsid w:val="00CB78D1"/>
    <w:rsid w:val="00CC080F"/>
    <w:rsid w:val="00CC3D90"/>
    <w:rsid w:val="00CC6159"/>
    <w:rsid w:val="00CD52C5"/>
    <w:rsid w:val="00CE0FA2"/>
    <w:rsid w:val="00CE5CEA"/>
    <w:rsid w:val="00CF7667"/>
    <w:rsid w:val="00D12D9B"/>
    <w:rsid w:val="00D15F2A"/>
    <w:rsid w:val="00D21B53"/>
    <w:rsid w:val="00D25587"/>
    <w:rsid w:val="00D262D9"/>
    <w:rsid w:val="00D30574"/>
    <w:rsid w:val="00D420E8"/>
    <w:rsid w:val="00D54110"/>
    <w:rsid w:val="00D5758C"/>
    <w:rsid w:val="00D647AF"/>
    <w:rsid w:val="00D71F0C"/>
    <w:rsid w:val="00D732D6"/>
    <w:rsid w:val="00D7342D"/>
    <w:rsid w:val="00D9568B"/>
    <w:rsid w:val="00DA10D4"/>
    <w:rsid w:val="00DA6B3E"/>
    <w:rsid w:val="00DB19B3"/>
    <w:rsid w:val="00DB7249"/>
    <w:rsid w:val="00DC7BB1"/>
    <w:rsid w:val="00DD7DC2"/>
    <w:rsid w:val="00DF1D15"/>
    <w:rsid w:val="00DF3E7F"/>
    <w:rsid w:val="00E042DF"/>
    <w:rsid w:val="00E05455"/>
    <w:rsid w:val="00E15636"/>
    <w:rsid w:val="00E167C7"/>
    <w:rsid w:val="00E212CD"/>
    <w:rsid w:val="00E43378"/>
    <w:rsid w:val="00E5759E"/>
    <w:rsid w:val="00E7524E"/>
    <w:rsid w:val="00E77044"/>
    <w:rsid w:val="00E80D87"/>
    <w:rsid w:val="00E875E9"/>
    <w:rsid w:val="00E954C8"/>
    <w:rsid w:val="00EA6715"/>
    <w:rsid w:val="00EB6891"/>
    <w:rsid w:val="00EC51C6"/>
    <w:rsid w:val="00EC7C43"/>
    <w:rsid w:val="00EE34F9"/>
    <w:rsid w:val="00EF28CA"/>
    <w:rsid w:val="00EF4721"/>
    <w:rsid w:val="00EF7248"/>
    <w:rsid w:val="00EF72D8"/>
    <w:rsid w:val="00F057D5"/>
    <w:rsid w:val="00F058FA"/>
    <w:rsid w:val="00F11A5C"/>
    <w:rsid w:val="00F17A08"/>
    <w:rsid w:val="00F25A5D"/>
    <w:rsid w:val="00F27EE1"/>
    <w:rsid w:val="00F324EC"/>
    <w:rsid w:val="00F32B84"/>
    <w:rsid w:val="00F51ED4"/>
    <w:rsid w:val="00F559F9"/>
    <w:rsid w:val="00F57EC1"/>
    <w:rsid w:val="00F6403B"/>
    <w:rsid w:val="00F744FD"/>
    <w:rsid w:val="00F74C5C"/>
    <w:rsid w:val="00F91988"/>
    <w:rsid w:val="00F93F14"/>
    <w:rsid w:val="00F95F1B"/>
    <w:rsid w:val="00F96B9A"/>
    <w:rsid w:val="00FA14B7"/>
    <w:rsid w:val="00FA2833"/>
    <w:rsid w:val="00FA4C10"/>
    <w:rsid w:val="00FB64EA"/>
    <w:rsid w:val="00FC0D6B"/>
    <w:rsid w:val="00FC63FB"/>
    <w:rsid w:val="00FD7CAA"/>
    <w:rsid w:val="00FE464A"/>
    <w:rsid w:val="00FE78C2"/>
    <w:rsid w:val="00FF5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8EB7CD9-6F88-44CB-A3F1-9DE45920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A02"/>
    <w:pPr>
      <w:tabs>
        <w:tab w:val="center" w:pos="4513"/>
        <w:tab w:val="right" w:pos="9026"/>
      </w:tabs>
    </w:pPr>
  </w:style>
  <w:style w:type="character" w:customStyle="1" w:styleId="HeaderChar">
    <w:name w:val="Header Char"/>
    <w:basedOn w:val="DefaultParagraphFont"/>
    <w:link w:val="Header"/>
    <w:uiPriority w:val="99"/>
    <w:rsid w:val="008C5A02"/>
  </w:style>
  <w:style w:type="paragraph" w:styleId="Footer">
    <w:name w:val="footer"/>
    <w:basedOn w:val="Normal"/>
    <w:link w:val="FooterChar"/>
    <w:uiPriority w:val="99"/>
    <w:unhideWhenUsed/>
    <w:rsid w:val="008C5A02"/>
    <w:pPr>
      <w:tabs>
        <w:tab w:val="center" w:pos="4513"/>
        <w:tab w:val="right" w:pos="9026"/>
      </w:tabs>
    </w:pPr>
  </w:style>
  <w:style w:type="character" w:customStyle="1" w:styleId="FooterChar">
    <w:name w:val="Footer Char"/>
    <w:basedOn w:val="DefaultParagraphFont"/>
    <w:link w:val="Footer"/>
    <w:uiPriority w:val="99"/>
    <w:rsid w:val="008C5A02"/>
  </w:style>
  <w:style w:type="paragraph" w:styleId="BalloonText">
    <w:name w:val="Balloon Text"/>
    <w:basedOn w:val="Normal"/>
    <w:link w:val="BalloonTextChar"/>
    <w:uiPriority w:val="99"/>
    <w:semiHidden/>
    <w:unhideWhenUsed/>
    <w:rsid w:val="008C5A02"/>
    <w:rPr>
      <w:rFonts w:ascii="Tahoma" w:hAnsi="Tahoma" w:cs="Tahoma"/>
      <w:sz w:val="16"/>
      <w:szCs w:val="16"/>
    </w:rPr>
  </w:style>
  <w:style w:type="character" w:customStyle="1" w:styleId="BalloonTextChar">
    <w:name w:val="Balloon Text Char"/>
    <w:basedOn w:val="DefaultParagraphFont"/>
    <w:link w:val="BalloonText"/>
    <w:uiPriority w:val="99"/>
    <w:semiHidden/>
    <w:rsid w:val="008C5A02"/>
    <w:rPr>
      <w:rFonts w:ascii="Tahoma" w:hAnsi="Tahoma" w:cs="Tahoma"/>
      <w:sz w:val="16"/>
      <w:szCs w:val="16"/>
    </w:rPr>
  </w:style>
  <w:style w:type="paragraph" w:styleId="ListParagraph">
    <w:name w:val="List Paragraph"/>
    <w:basedOn w:val="Normal"/>
    <w:uiPriority w:val="34"/>
    <w:qFormat/>
    <w:rsid w:val="004D1236"/>
    <w:pPr>
      <w:ind w:left="720"/>
      <w:contextualSpacing/>
    </w:pPr>
  </w:style>
  <w:style w:type="table" w:styleId="TableGrid">
    <w:name w:val="Table Grid"/>
    <w:basedOn w:val="TableNormal"/>
    <w:uiPriority w:val="59"/>
    <w:rsid w:val="00540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5312"/>
    <w:rPr>
      <w:color w:val="0000FF" w:themeColor="hyperlink"/>
      <w:u w:val="single"/>
    </w:rPr>
  </w:style>
  <w:style w:type="character" w:styleId="CommentReference">
    <w:name w:val="annotation reference"/>
    <w:basedOn w:val="DefaultParagraphFont"/>
    <w:uiPriority w:val="99"/>
    <w:semiHidden/>
    <w:unhideWhenUsed/>
    <w:rsid w:val="00FC0D6B"/>
    <w:rPr>
      <w:sz w:val="16"/>
      <w:szCs w:val="16"/>
    </w:rPr>
  </w:style>
  <w:style w:type="paragraph" w:styleId="CommentText">
    <w:name w:val="annotation text"/>
    <w:basedOn w:val="Normal"/>
    <w:link w:val="CommentTextChar"/>
    <w:uiPriority w:val="99"/>
    <w:semiHidden/>
    <w:unhideWhenUsed/>
    <w:rsid w:val="00FC0D6B"/>
    <w:rPr>
      <w:sz w:val="20"/>
      <w:szCs w:val="20"/>
    </w:rPr>
  </w:style>
  <w:style w:type="character" w:customStyle="1" w:styleId="CommentTextChar">
    <w:name w:val="Comment Text Char"/>
    <w:basedOn w:val="DefaultParagraphFont"/>
    <w:link w:val="CommentText"/>
    <w:uiPriority w:val="99"/>
    <w:semiHidden/>
    <w:rsid w:val="00FC0D6B"/>
    <w:rPr>
      <w:sz w:val="20"/>
      <w:szCs w:val="20"/>
    </w:rPr>
  </w:style>
  <w:style w:type="paragraph" w:styleId="CommentSubject">
    <w:name w:val="annotation subject"/>
    <w:basedOn w:val="CommentText"/>
    <w:next w:val="CommentText"/>
    <w:link w:val="CommentSubjectChar"/>
    <w:uiPriority w:val="99"/>
    <w:semiHidden/>
    <w:unhideWhenUsed/>
    <w:rsid w:val="00FC0D6B"/>
    <w:rPr>
      <w:b/>
      <w:bCs/>
    </w:rPr>
  </w:style>
  <w:style w:type="character" w:customStyle="1" w:styleId="CommentSubjectChar">
    <w:name w:val="Comment Subject Char"/>
    <w:basedOn w:val="CommentTextChar"/>
    <w:link w:val="CommentSubject"/>
    <w:uiPriority w:val="99"/>
    <w:semiHidden/>
    <w:rsid w:val="00FC0D6B"/>
    <w:rPr>
      <w:b/>
      <w:bCs/>
      <w:sz w:val="20"/>
      <w:szCs w:val="20"/>
    </w:rPr>
  </w:style>
  <w:style w:type="paragraph" w:styleId="Revision">
    <w:name w:val="Revision"/>
    <w:hidden/>
    <w:uiPriority w:val="99"/>
    <w:semiHidden/>
    <w:rsid w:val="00BB39C0"/>
  </w:style>
  <w:style w:type="paragraph" w:customStyle="1" w:styleId="p1">
    <w:name w:val="p1"/>
    <w:basedOn w:val="Normal"/>
    <w:rsid w:val="00E212CD"/>
    <w:rPr>
      <w:rFonts w:ascii=".SF UI Text" w:eastAsiaTheme="minorHAnsi" w:hAnsi=".SF UI Text" w:cs="Times New Roman"/>
      <w:color w:val="454545"/>
      <w:sz w:val="26"/>
      <w:szCs w:val="26"/>
    </w:rPr>
  </w:style>
  <w:style w:type="paragraph" w:customStyle="1" w:styleId="p2">
    <w:name w:val="p2"/>
    <w:basedOn w:val="Normal"/>
    <w:rsid w:val="00E212CD"/>
    <w:rPr>
      <w:rFonts w:ascii=".SF UI Text" w:eastAsiaTheme="minorHAnsi" w:hAnsi=".SF UI Text" w:cs="Times New Roman"/>
      <w:color w:val="454545"/>
      <w:sz w:val="26"/>
      <w:szCs w:val="26"/>
    </w:rPr>
  </w:style>
  <w:style w:type="character" w:customStyle="1" w:styleId="s1">
    <w:name w:val="s1"/>
    <w:basedOn w:val="DefaultParagraphFont"/>
    <w:rsid w:val="00E212CD"/>
    <w:rPr>
      <w:rFonts w:ascii=".SFUIText" w:hAnsi=".SFUIText" w:hint="default"/>
      <w:b w:val="0"/>
      <w:bCs w:val="0"/>
      <w:i w:val="0"/>
      <w:iCs w:val="0"/>
      <w:sz w:val="34"/>
      <w:szCs w:val="34"/>
    </w:rPr>
  </w:style>
  <w:style w:type="character" w:customStyle="1" w:styleId="apple-converted-space">
    <w:name w:val="apple-converted-space"/>
    <w:basedOn w:val="DefaultParagraphFont"/>
    <w:rsid w:val="00E212CD"/>
  </w:style>
  <w:style w:type="character" w:customStyle="1" w:styleId="s2">
    <w:name w:val="s2"/>
    <w:basedOn w:val="DefaultParagraphFont"/>
    <w:rsid w:val="0042608F"/>
    <w:rPr>
      <w:rFonts w:ascii=".SFUIText-Bold" w:hAnsi=".SFUIText-Bold" w:hint="default"/>
      <w:b/>
      <w:bCs/>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2402">
      <w:bodyDiv w:val="1"/>
      <w:marLeft w:val="0"/>
      <w:marRight w:val="0"/>
      <w:marTop w:val="0"/>
      <w:marBottom w:val="0"/>
      <w:divBdr>
        <w:top w:val="none" w:sz="0" w:space="0" w:color="auto"/>
        <w:left w:val="none" w:sz="0" w:space="0" w:color="auto"/>
        <w:bottom w:val="none" w:sz="0" w:space="0" w:color="auto"/>
        <w:right w:val="none" w:sz="0" w:space="0" w:color="auto"/>
      </w:divBdr>
    </w:div>
    <w:div w:id="317268289">
      <w:bodyDiv w:val="1"/>
      <w:marLeft w:val="0"/>
      <w:marRight w:val="0"/>
      <w:marTop w:val="0"/>
      <w:marBottom w:val="0"/>
      <w:divBdr>
        <w:top w:val="none" w:sz="0" w:space="0" w:color="auto"/>
        <w:left w:val="none" w:sz="0" w:space="0" w:color="auto"/>
        <w:bottom w:val="none" w:sz="0" w:space="0" w:color="auto"/>
        <w:right w:val="none" w:sz="0" w:space="0" w:color="auto"/>
      </w:divBdr>
    </w:div>
    <w:div w:id="391973599">
      <w:bodyDiv w:val="1"/>
      <w:marLeft w:val="0"/>
      <w:marRight w:val="0"/>
      <w:marTop w:val="0"/>
      <w:marBottom w:val="0"/>
      <w:divBdr>
        <w:top w:val="none" w:sz="0" w:space="0" w:color="auto"/>
        <w:left w:val="none" w:sz="0" w:space="0" w:color="auto"/>
        <w:bottom w:val="none" w:sz="0" w:space="0" w:color="auto"/>
        <w:right w:val="none" w:sz="0" w:space="0" w:color="auto"/>
      </w:divBdr>
    </w:div>
    <w:div w:id="775634014">
      <w:bodyDiv w:val="1"/>
      <w:marLeft w:val="0"/>
      <w:marRight w:val="0"/>
      <w:marTop w:val="0"/>
      <w:marBottom w:val="0"/>
      <w:divBdr>
        <w:top w:val="none" w:sz="0" w:space="0" w:color="auto"/>
        <w:left w:val="none" w:sz="0" w:space="0" w:color="auto"/>
        <w:bottom w:val="none" w:sz="0" w:space="0" w:color="auto"/>
        <w:right w:val="none" w:sz="0" w:space="0" w:color="auto"/>
      </w:divBdr>
    </w:div>
    <w:div w:id="1058554587">
      <w:bodyDiv w:val="1"/>
      <w:marLeft w:val="0"/>
      <w:marRight w:val="0"/>
      <w:marTop w:val="0"/>
      <w:marBottom w:val="0"/>
      <w:divBdr>
        <w:top w:val="none" w:sz="0" w:space="0" w:color="auto"/>
        <w:left w:val="none" w:sz="0" w:space="0" w:color="auto"/>
        <w:bottom w:val="none" w:sz="0" w:space="0" w:color="auto"/>
        <w:right w:val="none" w:sz="0" w:space="0" w:color="auto"/>
      </w:divBdr>
    </w:div>
    <w:div w:id="1403024899">
      <w:bodyDiv w:val="1"/>
      <w:marLeft w:val="0"/>
      <w:marRight w:val="0"/>
      <w:marTop w:val="0"/>
      <w:marBottom w:val="0"/>
      <w:divBdr>
        <w:top w:val="none" w:sz="0" w:space="0" w:color="auto"/>
        <w:left w:val="none" w:sz="0" w:space="0" w:color="auto"/>
        <w:bottom w:val="none" w:sz="0" w:space="0" w:color="auto"/>
        <w:right w:val="none" w:sz="0" w:space="0" w:color="auto"/>
      </w:divBdr>
    </w:div>
    <w:div w:id="1475876322">
      <w:bodyDiv w:val="1"/>
      <w:marLeft w:val="0"/>
      <w:marRight w:val="0"/>
      <w:marTop w:val="0"/>
      <w:marBottom w:val="0"/>
      <w:divBdr>
        <w:top w:val="none" w:sz="0" w:space="0" w:color="auto"/>
        <w:left w:val="none" w:sz="0" w:space="0" w:color="auto"/>
        <w:bottom w:val="none" w:sz="0" w:space="0" w:color="auto"/>
        <w:right w:val="none" w:sz="0" w:space="0" w:color="auto"/>
      </w:divBdr>
    </w:div>
    <w:div w:id="1497501623">
      <w:bodyDiv w:val="1"/>
      <w:marLeft w:val="0"/>
      <w:marRight w:val="0"/>
      <w:marTop w:val="0"/>
      <w:marBottom w:val="0"/>
      <w:divBdr>
        <w:top w:val="none" w:sz="0" w:space="0" w:color="auto"/>
        <w:left w:val="none" w:sz="0" w:space="0" w:color="auto"/>
        <w:bottom w:val="none" w:sz="0" w:space="0" w:color="auto"/>
        <w:right w:val="none" w:sz="0" w:space="0" w:color="auto"/>
      </w:divBdr>
    </w:div>
    <w:div w:id="1511990083">
      <w:bodyDiv w:val="1"/>
      <w:marLeft w:val="0"/>
      <w:marRight w:val="0"/>
      <w:marTop w:val="0"/>
      <w:marBottom w:val="0"/>
      <w:divBdr>
        <w:top w:val="none" w:sz="0" w:space="0" w:color="auto"/>
        <w:left w:val="none" w:sz="0" w:space="0" w:color="auto"/>
        <w:bottom w:val="none" w:sz="0" w:space="0" w:color="auto"/>
        <w:right w:val="none" w:sz="0" w:space="0" w:color="auto"/>
      </w:divBdr>
    </w:div>
    <w:div w:id="1525820938">
      <w:bodyDiv w:val="1"/>
      <w:marLeft w:val="0"/>
      <w:marRight w:val="0"/>
      <w:marTop w:val="0"/>
      <w:marBottom w:val="0"/>
      <w:divBdr>
        <w:top w:val="none" w:sz="0" w:space="0" w:color="auto"/>
        <w:left w:val="none" w:sz="0" w:space="0" w:color="auto"/>
        <w:bottom w:val="none" w:sz="0" w:space="0" w:color="auto"/>
        <w:right w:val="none" w:sz="0" w:space="0" w:color="auto"/>
      </w:divBdr>
    </w:div>
    <w:div w:id="1529022625">
      <w:bodyDiv w:val="1"/>
      <w:marLeft w:val="0"/>
      <w:marRight w:val="0"/>
      <w:marTop w:val="0"/>
      <w:marBottom w:val="0"/>
      <w:divBdr>
        <w:top w:val="none" w:sz="0" w:space="0" w:color="auto"/>
        <w:left w:val="none" w:sz="0" w:space="0" w:color="auto"/>
        <w:bottom w:val="none" w:sz="0" w:space="0" w:color="auto"/>
        <w:right w:val="none" w:sz="0" w:space="0" w:color="auto"/>
      </w:divBdr>
    </w:div>
    <w:div w:id="1753503303">
      <w:bodyDiv w:val="1"/>
      <w:marLeft w:val="0"/>
      <w:marRight w:val="0"/>
      <w:marTop w:val="0"/>
      <w:marBottom w:val="0"/>
      <w:divBdr>
        <w:top w:val="none" w:sz="0" w:space="0" w:color="auto"/>
        <w:left w:val="none" w:sz="0" w:space="0" w:color="auto"/>
        <w:bottom w:val="none" w:sz="0" w:space="0" w:color="auto"/>
        <w:right w:val="none" w:sz="0" w:space="0" w:color="auto"/>
      </w:divBdr>
    </w:div>
    <w:div w:id="18270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03CB-B676-40CF-B39D-AA8A147E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Inspira Cumbria</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Lawty-Jones, Michele</dc:creator>
  <cp:keywords/>
  <dc:description/>
  <cp:lastModifiedBy>Tween, Holly</cp:lastModifiedBy>
  <cp:revision>17</cp:revision>
  <cp:lastPrinted>2017-05-22T13:09:00Z</cp:lastPrinted>
  <dcterms:created xsi:type="dcterms:W3CDTF">2017-10-05T14:08:00Z</dcterms:created>
  <dcterms:modified xsi:type="dcterms:W3CDTF">2017-10-12T08:01:00Z</dcterms:modified>
</cp:coreProperties>
</file>